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62D0" w:rsidRPr="00AD20CC" w:rsidRDefault="00B362D0" w:rsidP="00AD20CC">
      <w:pPr>
        <w:tabs>
          <w:tab w:val="center" w:pos="4536"/>
          <w:tab w:val="right" w:pos="8280"/>
        </w:tabs>
        <w:ind w:left="1440" w:hanging="1440"/>
        <w:rPr>
          <w:rFonts w:ascii="Arial" w:hAnsi="Arial" w:cs="Arial"/>
          <w:b/>
          <w:bCs/>
          <w:sz w:val="24"/>
        </w:rPr>
      </w:pPr>
      <w:r w:rsidRPr="00AD20CC">
        <w:rPr>
          <w:rFonts w:ascii="Arial" w:hAnsi="Arial" w:cs="Arial"/>
          <w:b/>
          <w:bCs/>
          <w:sz w:val="24"/>
        </w:rPr>
        <w:t>3GPP TSG RAN WG1 Meeting #94</w:t>
      </w:r>
      <w:r w:rsidRPr="00AD20CC">
        <w:rPr>
          <w:rFonts w:ascii="Arial" w:hAnsi="Arial" w:cs="Arial"/>
          <w:b/>
          <w:bCs/>
          <w:sz w:val="24"/>
        </w:rPr>
        <w:tab/>
        <w:t xml:space="preserve">          </w:t>
      </w:r>
      <w:r w:rsidR="00AD20CC" w:rsidRPr="00AD20CC">
        <w:rPr>
          <w:rFonts w:ascii="Arial" w:hAnsi="Arial" w:cs="Arial"/>
          <w:b/>
          <w:bCs/>
          <w:sz w:val="24"/>
        </w:rPr>
        <w:t xml:space="preserve">   </w:t>
      </w:r>
      <w:r w:rsidRPr="00AD20CC">
        <w:rPr>
          <w:rFonts w:ascii="Arial" w:hAnsi="Arial" w:cs="Arial"/>
          <w:b/>
          <w:bCs/>
          <w:sz w:val="24"/>
        </w:rPr>
        <w:t xml:space="preserve">                                   </w:t>
      </w:r>
      <w:r w:rsidR="00AD20CC" w:rsidRPr="00AD20CC">
        <w:rPr>
          <w:rFonts w:ascii="Arial" w:hAnsi="Arial" w:cs="Arial"/>
          <w:b/>
          <w:bCs/>
          <w:sz w:val="24"/>
        </w:rPr>
        <w:tab/>
        <w:t xml:space="preserve">       </w:t>
      </w:r>
      <w:r w:rsidR="00562155">
        <w:rPr>
          <w:rFonts w:ascii="Arial" w:hAnsi="Arial" w:cs="Arial"/>
          <w:b/>
          <w:bCs/>
          <w:sz w:val="24"/>
        </w:rPr>
        <w:t xml:space="preserve">     </w:t>
      </w:r>
      <w:r w:rsidRPr="00AD20CC">
        <w:rPr>
          <w:rFonts w:ascii="Arial" w:hAnsi="Arial" w:cs="Arial"/>
          <w:b/>
          <w:bCs/>
          <w:sz w:val="24"/>
        </w:rPr>
        <w:t>R1-18</w:t>
      </w:r>
      <w:r w:rsidR="00EB66C2">
        <w:rPr>
          <w:rFonts w:ascii="Arial" w:eastAsia="MS Mincho" w:hAnsi="Arial" w:cs="Arial"/>
          <w:b/>
          <w:bCs/>
          <w:sz w:val="24"/>
          <w:lang w:eastAsia="ja-JP"/>
        </w:rPr>
        <w:t>08708</w:t>
      </w:r>
    </w:p>
    <w:p w:rsidR="00B362D0" w:rsidRPr="00AD20CC" w:rsidRDefault="00B362D0" w:rsidP="00B362D0">
      <w:pPr>
        <w:rPr>
          <w:rFonts w:ascii="Arial" w:hAnsi="Arial" w:cs="Arial"/>
          <w:b/>
          <w:sz w:val="24"/>
        </w:rPr>
      </w:pPr>
      <w:r w:rsidRPr="00AD20CC">
        <w:rPr>
          <w:rFonts w:ascii="Arial" w:hAnsi="Arial" w:cs="Arial"/>
          <w:b/>
          <w:sz w:val="24"/>
        </w:rPr>
        <w:t>Gothenburg, Sweden, August 20</w:t>
      </w:r>
      <w:r w:rsidRPr="00AD20CC">
        <w:rPr>
          <w:rFonts w:ascii="Arial" w:hAnsi="Arial" w:cs="Arial"/>
          <w:b/>
          <w:sz w:val="24"/>
          <w:vertAlign w:val="superscript"/>
        </w:rPr>
        <w:t>th</w:t>
      </w:r>
      <w:r w:rsidR="00A70B81">
        <w:rPr>
          <w:rFonts w:ascii="Arial" w:hAnsi="Arial" w:cs="Arial"/>
          <w:b/>
          <w:sz w:val="24"/>
        </w:rPr>
        <w:t xml:space="preserve"> – 24</w:t>
      </w:r>
      <w:r w:rsidRPr="00AD20CC">
        <w:rPr>
          <w:rFonts w:ascii="Arial" w:hAnsi="Arial" w:cs="Arial"/>
          <w:b/>
          <w:sz w:val="24"/>
          <w:vertAlign w:val="superscript"/>
        </w:rPr>
        <w:t>th</w:t>
      </w:r>
      <w:r w:rsidRPr="00AD20CC">
        <w:rPr>
          <w:rFonts w:ascii="Arial" w:hAnsi="Arial" w:cs="Arial"/>
          <w:b/>
          <w:sz w:val="24"/>
        </w:rPr>
        <w:t>, 2018</w:t>
      </w:r>
    </w:p>
    <w:p w:rsidR="00B362D0" w:rsidRDefault="00B362D0" w:rsidP="00B362D0">
      <w:pPr>
        <w:tabs>
          <w:tab w:val="left" w:pos="1980"/>
          <w:tab w:val="right" w:pos="9072"/>
          <w:tab w:val="right" w:pos="10206"/>
        </w:tabs>
        <w:ind w:left="2070" w:hanging="2070"/>
        <w:rPr>
          <w:rFonts w:ascii="Arial" w:hAnsi="Arial"/>
          <w:b/>
          <w:sz w:val="24"/>
        </w:rPr>
      </w:pPr>
      <w:r w:rsidRPr="00AD20CC">
        <w:rPr>
          <w:rFonts w:ascii="Arial" w:hAnsi="Arial"/>
          <w:b/>
          <w:sz w:val="24"/>
        </w:rPr>
        <w:tab/>
      </w:r>
      <w:bookmarkStart w:id="0" w:name="DocumentFor"/>
      <w:bookmarkEnd w:id="0"/>
    </w:p>
    <w:tbl>
      <w:tblPr>
        <w:tblStyle w:val="TableGrid"/>
        <w:tblW w:w="998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377"/>
        <w:gridCol w:w="7718"/>
      </w:tblGrid>
      <w:tr w:rsidR="00AD20CC" w:rsidRPr="00AD20CC" w:rsidTr="00562155">
        <w:trPr>
          <w:trHeight w:val="303"/>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Source</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Intel Corporation</w:t>
            </w:r>
          </w:p>
        </w:tc>
      </w:tr>
      <w:tr w:rsidR="00AD20CC" w:rsidRPr="00AD20CC" w:rsidTr="00562155">
        <w:trPr>
          <w:trHeight w:val="303"/>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Title</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A70B81" w:rsidP="008908F6">
            <w:pPr>
              <w:tabs>
                <w:tab w:val="left" w:pos="1980"/>
                <w:tab w:val="right" w:pos="9072"/>
                <w:tab w:val="right" w:pos="10206"/>
              </w:tabs>
              <w:rPr>
                <w:rFonts w:ascii="Arial" w:hAnsi="Arial"/>
                <w:b/>
                <w:sz w:val="24"/>
              </w:rPr>
            </w:pPr>
            <w:r w:rsidRPr="00A70B81">
              <w:rPr>
                <w:rFonts w:ascii="Arial" w:hAnsi="Arial"/>
                <w:b/>
                <w:sz w:val="24"/>
              </w:rPr>
              <w:t>Evaluation Methodology for IMT-2020 Self-Evaluation</w:t>
            </w:r>
          </w:p>
        </w:tc>
      </w:tr>
      <w:tr w:rsidR="00AD20CC" w:rsidRPr="00AD20CC" w:rsidTr="00562155">
        <w:trPr>
          <w:trHeight w:val="303"/>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Agenda Item</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AD20CC" w:rsidP="00562155">
            <w:pPr>
              <w:tabs>
                <w:tab w:val="left" w:pos="1980"/>
                <w:tab w:val="right" w:pos="9072"/>
                <w:tab w:val="right" w:pos="10206"/>
              </w:tabs>
              <w:ind w:left="1980" w:right="-108" w:hanging="1980"/>
              <w:rPr>
                <w:rFonts w:ascii="Arial" w:hAnsi="Arial"/>
                <w:b/>
                <w:sz w:val="24"/>
              </w:rPr>
            </w:pPr>
            <w:r w:rsidRPr="00AD20CC">
              <w:rPr>
                <w:rFonts w:ascii="Arial" w:hAnsi="Arial"/>
                <w:b/>
                <w:sz w:val="24"/>
              </w:rPr>
              <w:t>7.2.7.2    Others</w:t>
            </w:r>
          </w:p>
        </w:tc>
      </w:tr>
      <w:tr w:rsidR="00AD20CC" w:rsidRPr="00AD20CC" w:rsidTr="00562155">
        <w:trPr>
          <w:trHeight w:val="290"/>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Document for</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Discussion and Decision</w:t>
            </w:r>
          </w:p>
        </w:tc>
      </w:tr>
    </w:tbl>
    <w:p w:rsidR="00B362D0" w:rsidRPr="009A730D" w:rsidRDefault="00B362D0" w:rsidP="009A730D">
      <w:pPr>
        <w:pStyle w:val="Heading1"/>
      </w:pPr>
      <w:r w:rsidRPr="009A730D">
        <w:t>Introduction</w:t>
      </w:r>
    </w:p>
    <w:p w:rsidR="00E026EC" w:rsidRDefault="00E026EC" w:rsidP="00E026EC">
      <w:pPr>
        <w:spacing w:before="240"/>
        <w:jc w:val="both"/>
        <w:rPr>
          <w:lang w:eastAsia="x-none"/>
        </w:rPr>
      </w:pPr>
      <w:r>
        <w:rPr>
          <w:lang w:eastAsia="x-none"/>
        </w:rPr>
        <w:t>This paper is related to the “</w:t>
      </w:r>
      <w:r w:rsidRPr="004171ED">
        <w:rPr>
          <w:i/>
          <w:lang w:eastAsia="x-none"/>
        </w:rPr>
        <w:t>Study Item on Self-Evaluation towards IMT-2020</w:t>
      </w:r>
      <w:r>
        <w:rPr>
          <w:lang w:eastAsia="x-none"/>
        </w:rPr>
        <w:t xml:space="preserve">” [1]. In this paper, we discuss simulation methodology, analytical metric evaluations and related assumptions for IMT-2020 self-evaluation. </w:t>
      </w:r>
    </w:p>
    <w:p w:rsidR="0044590C" w:rsidRDefault="0044590C" w:rsidP="0044590C">
      <w:pPr>
        <w:rPr>
          <w:i/>
          <w:lang w:eastAsia="x-none"/>
        </w:rPr>
      </w:pPr>
    </w:p>
    <w:p w:rsidR="00E026EC" w:rsidRDefault="00E026EC" w:rsidP="00E026EC">
      <w:pPr>
        <w:pStyle w:val="Heading1"/>
      </w:pPr>
      <w:r>
        <w:t>NR Self-Evaluation Methods and Performance Metrics</w:t>
      </w:r>
    </w:p>
    <w:p w:rsidR="00E026EC" w:rsidRPr="00B20331" w:rsidRDefault="00E026EC" w:rsidP="00E026EC">
      <w:pPr>
        <w:spacing w:before="240"/>
        <w:jc w:val="both"/>
        <w:rPr>
          <w:rFonts w:ascii="Times" w:eastAsia="Batang" w:hAnsi="Times"/>
          <w:lang w:val="en-GB" w:eastAsia="x-none"/>
        </w:rPr>
      </w:pPr>
      <w:r w:rsidRPr="00B20331">
        <w:rPr>
          <w:rFonts w:ascii="Times" w:eastAsia="Batang" w:hAnsi="Times"/>
          <w:lang w:val="en-GB" w:eastAsia="x-none"/>
        </w:rPr>
        <w:t>The IMT-2020 evaluation guidelines for radio interface technologies [3] outline a set of performance metrics and associated evaluation methods. In the next two sections, we review these metrics and highlight the minimum performance requirements for each metric. We also present a comparative study of the minimum requirements of IMT-2020 [2] with respect to the corresponding requirements for IMT-Advanced [4].</w:t>
      </w:r>
    </w:p>
    <w:p w:rsidR="00E026EC" w:rsidRDefault="00E026EC" w:rsidP="00E026EC">
      <w:pPr>
        <w:jc w:val="both"/>
        <w:rPr>
          <w:rFonts w:ascii="Times" w:eastAsia="Batang" w:hAnsi="Times"/>
          <w:lang w:val="en-GB" w:eastAsia="x-none"/>
        </w:rPr>
      </w:pPr>
    </w:p>
    <w:p w:rsidR="00E026EC" w:rsidRPr="00B20331" w:rsidRDefault="00E026EC" w:rsidP="00E026EC">
      <w:pPr>
        <w:jc w:val="both"/>
        <w:rPr>
          <w:rFonts w:ascii="Times" w:eastAsia="Batang" w:hAnsi="Times"/>
          <w:lang w:val="en-GB" w:eastAsia="x-none"/>
        </w:rPr>
      </w:pPr>
      <w:r w:rsidRPr="00B20331">
        <w:rPr>
          <w:rFonts w:ascii="Times" w:eastAsia="Batang" w:hAnsi="Times"/>
          <w:lang w:val="en-GB" w:eastAsia="x-none"/>
        </w:rPr>
        <w:t xml:space="preserve">The self-evaluation methods for IMT-2020 are divided broadly into three categories – </w:t>
      </w:r>
      <w:r w:rsidRPr="00B20331">
        <w:rPr>
          <w:rFonts w:ascii="Times" w:eastAsia="Batang" w:hAnsi="Times"/>
          <w:i/>
          <w:lang w:val="en-GB" w:eastAsia="x-none"/>
        </w:rPr>
        <w:t xml:space="preserve">(i) </w:t>
      </w:r>
      <w:r w:rsidRPr="00B20331">
        <w:rPr>
          <w:rFonts w:ascii="Times" w:eastAsia="Batang" w:hAnsi="Times"/>
          <w:lang w:val="en-GB" w:eastAsia="x-none"/>
        </w:rPr>
        <w:t>Analytical calculation based</w:t>
      </w:r>
      <w:r>
        <w:rPr>
          <w:rFonts w:ascii="Times" w:eastAsia="Batang" w:hAnsi="Times"/>
          <w:lang w:val="en-GB" w:eastAsia="x-none"/>
        </w:rPr>
        <w:t xml:space="preserve">, </w:t>
      </w:r>
      <w:r w:rsidRPr="00B20331">
        <w:rPr>
          <w:rFonts w:ascii="Times" w:eastAsia="Batang" w:hAnsi="Times"/>
          <w:i/>
          <w:lang w:val="en-GB" w:eastAsia="x-none"/>
        </w:rPr>
        <w:t xml:space="preserve">(ii) </w:t>
      </w:r>
      <w:r w:rsidRPr="00B20331">
        <w:rPr>
          <w:rFonts w:ascii="Times" w:eastAsia="Batang" w:hAnsi="Times"/>
          <w:lang w:val="en-GB" w:eastAsia="x-none"/>
        </w:rPr>
        <w:t xml:space="preserve">Simulation based (including both system and link level simulations), and </w:t>
      </w:r>
      <w:r w:rsidRPr="00B20331">
        <w:rPr>
          <w:rFonts w:ascii="Times" w:eastAsia="Batang" w:hAnsi="Times"/>
          <w:i/>
          <w:lang w:val="en-GB" w:eastAsia="x-none"/>
        </w:rPr>
        <w:t xml:space="preserve">(iii) </w:t>
      </w:r>
      <w:r w:rsidRPr="00B20331">
        <w:rPr>
          <w:rFonts w:ascii="Times" w:eastAsia="Batang" w:hAnsi="Times"/>
          <w:lang w:val="en-GB" w:eastAsia="x-none"/>
        </w:rPr>
        <w:t>Inspection based methods. Table 1 summarizes the performance metrics and test environments for each self-evaluation method [3]</w:t>
      </w:r>
      <w:r>
        <w:rPr>
          <w:rFonts w:ascii="Times" w:eastAsia="Batang" w:hAnsi="Times"/>
          <w:lang w:val="en-GB" w:eastAsia="x-none"/>
        </w:rPr>
        <w:t xml:space="preserve"> which falls under RAN1 scope</w:t>
      </w:r>
      <w:r w:rsidRPr="00B20331">
        <w:rPr>
          <w:rFonts w:ascii="Times" w:eastAsia="Batang" w:hAnsi="Times"/>
          <w:lang w:val="en-GB" w:eastAsia="x-none"/>
        </w:rPr>
        <w:t xml:space="preserve">. </w:t>
      </w:r>
    </w:p>
    <w:p w:rsidR="00E026EC" w:rsidRPr="0027780D" w:rsidRDefault="00E026EC" w:rsidP="00E026EC">
      <w:pPr>
        <w:keepNext/>
        <w:suppressAutoHyphens/>
        <w:overflowPunct w:val="0"/>
        <w:autoSpaceDE w:val="0"/>
        <w:spacing w:before="120" w:after="120"/>
        <w:jc w:val="center"/>
        <w:textAlignment w:val="baseline"/>
        <w:rPr>
          <w:rFonts w:ascii="Arial" w:eastAsia="Times New Roman" w:hAnsi="Arial" w:cs="Arial"/>
          <w:b/>
          <w:sz w:val="22"/>
          <w:szCs w:val="20"/>
          <w:lang w:val="en-GB" w:eastAsia="ar-SA"/>
        </w:rPr>
      </w:pPr>
      <w:r w:rsidRPr="0027780D">
        <w:rPr>
          <w:rFonts w:ascii="Arial" w:eastAsia="Times New Roman" w:hAnsi="Arial" w:cs="Arial"/>
          <w:b/>
          <w:sz w:val="22"/>
          <w:szCs w:val="20"/>
          <w:lang w:val="en-GB" w:eastAsia="ar-SA"/>
        </w:rPr>
        <w:t xml:space="preserve">Table </w:t>
      </w:r>
      <w:r w:rsidRPr="0027780D">
        <w:rPr>
          <w:rFonts w:ascii="Arial" w:eastAsia="Times New Roman" w:hAnsi="Arial" w:cs="Arial"/>
          <w:b/>
          <w:sz w:val="22"/>
          <w:szCs w:val="20"/>
          <w:lang w:val="en-GB" w:eastAsia="ar-SA"/>
        </w:rPr>
        <w:fldChar w:fldCharType="begin"/>
      </w:r>
      <w:r w:rsidRPr="0027780D">
        <w:rPr>
          <w:rFonts w:ascii="Arial" w:eastAsia="Times New Roman" w:hAnsi="Arial" w:cs="Arial"/>
          <w:b/>
          <w:sz w:val="22"/>
          <w:szCs w:val="20"/>
          <w:lang w:val="en-GB" w:eastAsia="ar-SA"/>
        </w:rPr>
        <w:instrText xml:space="preserve"> SEQ Table \* ARABIC </w:instrText>
      </w:r>
      <w:r w:rsidRPr="0027780D">
        <w:rPr>
          <w:rFonts w:ascii="Arial" w:eastAsia="Times New Roman" w:hAnsi="Arial" w:cs="Arial"/>
          <w:b/>
          <w:sz w:val="22"/>
          <w:szCs w:val="20"/>
          <w:lang w:val="en-GB" w:eastAsia="ar-SA"/>
        </w:rPr>
        <w:fldChar w:fldCharType="separate"/>
      </w:r>
      <w:r w:rsidR="002B4127">
        <w:rPr>
          <w:rFonts w:ascii="Arial" w:eastAsia="Times New Roman" w:hAnsi="Arial" w:cs="Arial"/>
          <w:b/>
          <w:noProof/>
          <w:sz w:val="22"/>
          <w:szCs w:val="20"/>
          <w:lang w:val="en-GB" w:eastAsia="ar-SA"/>
        </w:rPr>
        <w:t>1</w:t>
      </w:r>
      <w:r w:rsidRPr="0027780D">
        <w:rPr>
          <w:rFonts w:ascii="Arial" w:eastAsia="Times New Roman" w:hAnsi="Arial" w:cs="Arial"/>
          <w:b/>
          <w:sz w:val="22"/>
          <w:szCs w:val="20"/>
          <w:lang w:val="en-GB" w:eastAsia="ar-SA"/>
        </w:rPr>
        <w:fldChar w:fldCharType="end"/>
      </w:r>
      <w:r w:rsidRPr="0027780D">
        <w:rPr>
          <w:rFonts w:ascii="Arial" w:eastAsia="Times New Roman" w:hAnsi="Arial" w:cs="Arial"/>
          <w:b/>
          <w:sz w:val="22"/>
          <w:szCs w:val="20"/>
          <w:lang w:val="en-GB" w:eastAsia="ar-SA"/>
        </w:rPr>
        <w:t>: IMT-2020 Self Evaluation Methodologies and Metrics</w:t>
      </w:r>
    </w:p>
    <w:tbl>
      <w:tblPr>
        <w:tblStyle w:val="TableGrid1"/>
        <w:tblW w:w="0" w:type="auto"/>
        <w:jc w:val="center"/>
        <w:tblLook w:val="04A0" w:firstRow="1" w:lastRow="0" w:firstColumn="1" w:lastColumn="0" w:noHBand="0" w:noVBand="1"/>
      </w:tblPr>
      <w:tblGrid>
        <w:gridCol w:w="3018"/>
        <w:gridCol w:w="3221"/>
        <w:gridCol w:w="2671"/>
      </w:tblGrid>
      <w:tr w:rsidR="00E026EC" w:rsidRPr="00B20331" w:rsidTr="001034B1">
        <w:trPr>
          <w:trHeight w:val="432"/>
          <w:jc w:val="center"/>
        </w:trPr>
        <w:tc>
          <w:tcPr>
            <w:tcW w:w="3018" w:type="dxa"/>
            <w:tcBorders>
              <w:bottom w:val="thinThickLargeGap" w:sz="24" w:space="0" w:color="auto"/>
            </w:tcBorders>
            <w:vAlign w:val="center"/>
          </w:tcPr>
          <w:p w:rsidR="00E026EC" w:rsidRPr="00B20331" w:rsidRDefault="00E026EC" w:rsidP="001034B1">
            <w:pPr>
              <w:jc w:val="center"/>
              <w:rPr>
                <w:rFonts w:ascii="Arial" w:hAnsi="Arial" w:cs="Arial"/>
                <w:b/>
                <w:sz w:val="22"/>
                <w:lang w:val="en-GB" w:eastAsia="x-none"/>
              </w:rPr>
            </w:pPr>
            <w:r w:rsidRPr="00B20331">
              <w:rPr>
                <w:rFonts w:ascii="Arial" w:hAnsi="Arial" w:cs="Arial"/>
                <w:b/>
                <w:sz w:val="22"/>
                <w:lang w:val="en-GB" w:eastAsia="x-none"/>
              </w:rPr>
              <w:t>Evaluation Method</w:t>
            </w:r>
          </w:p>
        </w:tc>
        <w:tc>
          <w:tcPr>
            <w:tcW w:w="3221" w:type="dxa"/>
            <w:tcBorders>
              <w:bottom w:val="thinThickLargeGap" w:sz="24" w:space="0" w:color="auto"/>
            </w:tcBorders>
            <w:vAlign w:val="center"/>
          </w:tcPr>
          <w:p w:rsidR="00E026EC" w:rsidRPr="00B20331" w:rsidRDefault="00E026EC" w:rsidP="001034B1">
            <w:pPr>
              <w:jc w:val="center"/>
              <w:rPr>
                <w:rFonts w:ascii="Arial" w:hAnsi="Arial" w:cs="Arial"/>
                <w:b/>
                <w:sz w:val="22"/>
                <w:lang w:val="en-GB" w:eastAsia="x-none"/>
              </w:rPr>
            </w:pPr>
            <w:r w:rsidRPr="00B20331">
              <w:rPr>
                <w:rFonts w:ascii="Arial" w:hAnsi="Arial" w:cs="Arial"/>
                <w:b/>
                <w:sz w:val="22"/>
                <w:lang w:val="en-GB" w:eastAsia="x-none"/>
              </w:rPr>
              <w:t>Performance Metric</w:t>
            </w:r>
          </w:p>
        </w:tc>
        <w:tc>
          <w:tcPr>
            <w:tcW w:w="2671" w:type="dxa"/>
            <w:tcBorders>
              <w:bottom w:val="thinThickLargeGap" w:sz="24" w:space="0" w:color="auto"/>
            </w:tcBorders>
            <w:vAlign w:val="center"/>
          </w:tcPr>
          <w:p w:rsidR="00E026EC" w:rsidRPr="00B20331" w:rsidRDefault="00E026EC" w:rsidP="001034B1">
            <w:pPr>
              <w:jc w:val="center"/>
              <w:rPr>
                <w:rFonts w:ascii="Arial" w:hAnsi="Arial" w:cs="Arial"/>
                <w:b/>
                <w:sz w:val="22"/>
                <w:lang w:val="en-GB" w:eastAsia="x-none"/>
              </w:rPr>
            </w:pPr>
            <w:r w:rsidRPr="00B20331">
              <w:rPr>
                <w:rFonts w:ascii="Arial" w:hAnsi="Arial" w:cs="Arial"/>
                <w:b/>
                <w:sz w:val="22"/>
                <w:lang w:val="en-GB" w:eastAsia="x-none"/>
              </w:rPr>
              <w:t>Purpose of Evaluation</w:t>
            </w:r>
          </w:p>
        </w:tc>
      </w:tr>
      <w:tr w:rsidR="00E026EC" w:rsidRPr="00B20331" w:rsidTr="001034B1">
        <w:trPr>
          <w:trHeight w:val="60"/>
          <w:jc w:val="center"/>
        </w:trPr>
        <w:tc>
          <w:tcPr>
            <w:tcW w:w="3018" w:type="dxa"/>
            <w:vMerge w:val="restart"/>
            <w:tcBorders>
              <w:top w:val="thinThickLargeGap" w:sz="24" w:space="0" w:color="auto"/>
            </w:tcBorders>
            <w:vAlign w:val="center"/>
          </w:tcPr>
          <w:p w:rsidR="00E026EC" w:rsidRPr="00B20331" w:rsidRDefault="00E026EC" w:rsidP="001034B1">
            <w:pPr>
              <w:tabs>
                <w:tab w:val="left" w:pos="997"/>
                <w:tab w:val="center" w:pos="1930"/>
              </w:tabs>
              <w:jc w:val="center"/>
              <w:rPr>
                <w:rFonts w:ascii="Times" w:hAnsi="Times"/>
                <w:lang w:val="en-GB" w:eastAsia="x-none"/>
              </w:rPr>
            </w:pPr>
            <w:r w:rsidRPr="00B20331">
              <w:rPr>
                <w:rFonts w:ascii="Times" w:hAnsi="Times"/>
                <w:b/>
                <w:lang w:val="en-GB" w:eastAsia="x-none"/>
              </w:rPr>
              <w:t>Analytical</w:t>
            </w:r>
          </w:p>
        </w:tc>
        <w:tc>
          <w:tcPr>
            <w:tcW w:w="3221" w:type="dxa"/>
            <w:tcBorders>
              <w:top w:val="thinThickLargeGap" w:sz="24" w:space="0" w:color="auto"/>
              <w:bottom w:val="single" w:sz="4" w:space="0" w:color="000000"/>
            </w:tcBorders>
            <w:vAlign w:val="center"/>
          </w:tcPr>
          <w:p w:rsidR="00E026EC" w:rsidRPr="00B20331" w:rsidRDefault="00E026EC" w:rsidP="001034B1">
            <w:pPr>
              <w:jc w:val="center"/>
              <w:rPr>
                <w:lang w:val="en-GB" w:eastAsia="x-none"/>
              </w:rPr>
            </w:pPr>
            <w:r w:rsidRPr="00B20331">
              <w:rPr>
                <w:lang w:val="en-GB" w:eastAsia="x-none"/>
              </w:rPr>
              <w:t xml:space="preserve">Peak </w:t>
            </w:r>
            <w:r>
              <w:rPr>
                <w:lang w:val="en-GB" w:eastAsia="x-none"/>
              </w:rPr>
              <w:t>Data Rate</w:t>
            </w:r>
          </w:p>
        </w:tc>
        <w:tc>
          <w:tcPr>
            <w:tcW w:w="2671" w:type="dxa"/>
            <w:tcBorders>
              <w:top w:val="thinThickLargeGap" w:sz="24" w:space="0" w:color="auto"/>
            </w:tcBorders>
          </w:tcPr>
          <w:p w:rsidR="00E026EC" w:rsidRPr="00B20331" w:rsidRDefault="00E026EC" w:rsidP="001034B1">
            <w:pPr>
              <w:jc w:val="center"/>
              <w:rPr>
                <w:lang w:val="en-GB" w:eastAsia="x-none"/>
              </w:rPr>
            </w:pPr>
            <w:r w:rsidRPr="00B20331">
              <w:rPr>
                <w:lang w:val="en-GB" w:eastAsia="x-none"/>
              </w:rPr>
              <w:t>eMBB</w:t>
            </w:r>
          </w:p>
        </w:tc>
      </w:tr>
      <w:tr w:rsidR="00E026EC" w:rsidRPr="00B20331" w:rsidTr="001034B1">
        <w:trPr>
          <w:trHeight w:val="59"/>
          <w:jc w:val="center"/>
        </w:trPr>
        <w:tc>
          <w:tcPr>
            <w:tcW w:w="3018" w:type="dxa"/>
            <w:vMerge/>
            <w:vAlign w:val="center"/>
          </w:tcPr>
          <w:p w:rsidR="00E026EC" w:rsidRPr="00B20331" w:rsidRDefault="00E026EC" w:rsidP="001034B1">
            <w:pPr>
              <w:tabs>
                <w:tab w:val="left" w:pos="997"/>
                <w:tab w:val="center" w:pos="1930"/>
              </w:tabs>
              <w:jc w:val="center"/>
              <w:rPr>
                <w:rFonts w:ascii="Times" w:hAnsi="Times"/>
                <w:lang w:val="en-GB" w:eastAsia="x-none"/>
              </w:rPr>
            </w:pPr>
          </w:p>
        </w:tc>
        <w:tc>
          <w:tcPr>
            <w:tcW w:w="3221" w:type="dxa"/>
            <w:tcBorders>
              <w:top w:val="single" w:sz="4" w:space="0" w:color="000000"/>
              <w:bottom w:val="single" w:sz="4" w:space="0" w:color="000000"/>
            </w:tcBorders>
            <w:vAlign w:val="center"/>
          </w:tcPr>
          <w:p w:rsidR="00E026EC" w:rsidRPr="00B20331" w:rsidRDefault="00E026EC" w:rsidP="001034B1">
            <w:pPr>
              <w:jc w:val="center"/>
              <w:rPr>
                <w:lang w:val="en-GB" w:eastAsia="x-none"/>
              </w:rPr>
            </w:pPr>
            <w:r>
              <w:rPr>
                <w:lang w:val="en-GB" w:eastAsia="x-none"/>
              </w:rPr>
              <w:t>Peak Spectral Efficiency</w:t>
            </w:r>
          </w:p>
        </w:tc>
        <w:tc>
          <w:tcPr>
            <w:tcW w:w="2671" w:type="dxa"/>
          </w:tcPr>
          <w:p w:rsidR="00E026EC" w:rsidRPr="00B20331" w:rsidRDefault="00E026EC" w:rsidP="001034B1">
            <w:pPr>
              <w:jc w:val="center"/>
              <w:rPr>
                <w:lang w:val="en-GB" w:eastAsia="x-none"/>
              </w:rPr>
            </w:pPr>
            <w:r w:rsidRPr="00B20331">
              <w:rPr>
                <w:lang w:val="en-GB" w:eastAsia="x-none"/>
              </w:rPr>
              <w:t>eMBB</w:t>
            </w:r>
          </w:p>
        </w:tc>
      </w:tr>
      <w:tr w:rsidR="00E026EC" w:rsidRPr="00B20331" w:rsidTr="001034B1">
        <w:trPr>
          <w:trHeight w:val="59"/>
          <w:jc w:val="center"/>
        </w:trPr>
        <w:tc>
          <w:tcPr>
            <w:tcW w:w="3018" w:type="dxa"/>
            <w:vMerge/>
            <w:vAlign w:val="center"/>
          </w:tcPr>
          <w:p w:rsidR="00E026EC" w:rsidRPr="00B20331" w:rsidRDefault="00E026EC" w:rsidP="001034B1">
            <w:pPr>
              <w:tabs>
                <w:tab w:val="left" w:pos="997"/>
                <w:tab w:val="center" w:pos="1930"/>
              </w:tabs>
              <w:jc w:val="center"/>
              <w:rPr>
                <w:rFonts w:ascii="Times" w:hAnsi="Times"/>
                <w:lang w:val="en-GB" w:eastAsia="x-none"/>
              </w:rPr>
            </w:pPr>
          </w:p>
        </w:tc>
        <w:tc>
          <w:tcPr>
            <w:tcW w:w="3221" w:type="dxa"/>
            <w:tcBorders>
              <w:top w:val="single" w:sz="4" w:space="0" w:color="000000"/>
              <w:bottom w:val="single" w:sz="4" w:space="0" w:color="000000"/>
            </w:tcBorders>
            <w:vAlign w:val="center"/>
          </w:tcPr>
          <w:p w:rsidR="00E026EC" w:rsidRDefault="00E026EC" w:rsidP="001034B1">
            <w:pPr>
              <w:jc w:val="center"/>
              <w:rPr>
                <w:lang w:val="en-GB" w:eastAsia="x-none"/>
              </w:rPr>
            </w:pPr>
            <w:r w:rsidRPr="00B20331">
              <w:rPr>
                <w:lang w:val="en-GB" w:eastAsia="x-none"/>
              </w:rPr>
              <w:t xml:space="preserve">User Experienced Data Rate </w:t>
            </w:r>
          </w:p>
        </w:tc>
        <w:tc>
          <w:tcPr>
            <w:tcW w:w="2671" w:type="dxa"/>
          </w:tcPr>
          <w:p w:rsidR="00E026EC" w:rsidRPr="00B20331" w:rsidRDefault="00E026EC" w:rsidP="001034B1">
            <w:pPr>
              <w:jc w:val="center"/>
              <w:rPr>
                <w:lang w:val="en-GB" w:eastAsia="x-none"/>
              </w:rPr>
            </w:pPr>
            <w:r w:rsidRPr="00B20331">
              <w:rPr>
                <w:lang w:val="en-GB" w:eastAsia="x-none"/>
              </w:rPr>
              <w:t>eMBB</w:t>
            </w:r>
          </w:p>
        </w:tc>
      </w:tr>
      <w:tr w:rsidR="00E026EC" w:rsidRPr="00B20331" w:rsidTr="001034B1">
        <w:trPr>
          <w:trHeight w:val="59"/>
          <w:jc w:val="center"/>
        </w:trPr>
        <w:tc>
          <w:tcPr>
            <w:tcW w:w="3018" w:type="dxa"/>
            <w:vMerge/>
            <w:vAlign w:val="center"/>
          </w:tcPr>
          <w:p w:rsidR="00E026EC" w:rsidRPr="00B20331" w:rsidRDefault="00E026EC" w:rsidP="001034B1">
            <w:pPr>
              <w:tabs>
                <w:tab w:val="left" w:pos="997"/>
                <w:tab w:val="center" w:pos="1930"/>
              </w:tabs>
              <w:jc w:val="center"/>
              <w:rPr>
                <w:rFonts w:ascii="Times" w:hAnsi="Times"/>
                <w:lang w:val="en-GB" w:eastAsia="x-none"/>
              </w:rPr>
            </w:pPr>
          </w:p>
        </w:tc>
        <w:tc>
          <w:tcPr>
            <w:tcW w:w="3221" w:type="dxa"/>
            <w:tcBorders>
              <w:top w:val="single" w:sz="4" w:space="0" w:color="000000"/>
            </w:tcBorders>
            <w:vAlign w:val="center"/>
          </w:tcPr>
          <w:p w:rsidR="00E026EC" w:rsidRPr="00B20331" w:rsidRDefault="00E026EC" w:rsidP="001034B1">
            <w:pPr>
              <w:jc w:val="center"/>
              <w:rPr>
                <w:lang w:val="en-GB" w:eastAsia="x-none"/>
              </w:rPr>
            </w:pPr>
            <w:r w:rsidRPr="00B20331">
              <w:rPr>
                <w:lang w:val="en-GB" w:eastAsia="x-none"/>
              </w:rPr>
              <w:t>Area Traffic Capacity</w:t>
            </w:r>
          </w:p>
        </w:tc>
        <w:tc>
          <w:tcPr>
            <w:tcW w:w="2671" w:type="dxa"/>
          </w:tcPr>
          <w:p w:rsidR="00E026EC" w:rsidRPr="00B20331" w:rsidRDefault="00E026EC" w:rsidP="001034B1">
            <w:pPr>
              <w:jc w:val="center"/>
              <w:rPr>
                <w:lang w:val="en-GB" w:eastAsia="x-none"/>
              </w:rPr>
            </w:pPr>
            <w:r w:rsidRPr="00B20331">
              <w:rPr>
                <w:lang w:val="en-GB" w:eastAsia="x-none"/>
              </w:rPr>
              <w:t>eMBB</w:t>
            </w:r>
            <w:r>
              <w:rPr>
                <w:lang w:val="en-GB" w:eastAsia="x-none"/>
              </w:rPr>
              <w:t xml:space="preserve"> - InH</w:t>
            </w:r>
          </w:p>
        </w:tc>
      </w:tr>
      <w:tr w:rsidR="00E026EC" w:rsidRPr="00B20331" w:rsidTr="001034B1">
        <w:trPr>
          <w:trHeight w:val="288"/>
          <w:jc w:val="center"/>
        </w:trPr>
        <w:tc>
          <w:tcPr>
            <w:tcW w:w="3018" w:type="dxa"/>
            <w:vMerge w:val="restart"/>
            <w:tcBorders>
              <w:top w:val="thinThickLargeGap" w:sz="24" w:space="0" w:color="auto"/>
            </w:tcBorders>
            <w:vAlign w:val="center"/>
          </w:tcPr>
          <w:p w:rsidR="00E026EC" w:rsidRPr="00B20331" w:rsidRDefault="00E026EC" w:rsidP="001034B1">
            <w:pPr>
              <w:tabs>
                <w:tab w:val="left" w:pos="997"/>
                <w:tab w:val="center" w:pos="1930"/>
              </w:tabs>
              <w:jc w:val="center"/>
              <w:rPr>
                <w:rFonts w:ascii="Times" w:hAnsi="Times"/>
                <w:lang w:val="en-GB" w:eastAsia="x-none"/>
              </w:rPr>
            </w:pPr>
            <w:r w:rsidRPr="00B20331">
              <w:rPr>
                <w:rFonts w:ascii="Times" w:hAnsi="Times"/>
                <w:lang w:val="en-GB" w:eastAsia="x-none"/>
              </w:rPr>
              <w:softHyphen/>
            </w:r>
            <w:r w:rsidRPr="00B20331">
              <w:rPr>
                <w:rFonts w:ascii="Times" w:hAnsi="Times"/>
                <w:b/>
                <w:lang w:val="en-GB" w:eastAsia="x-none"/>
              </w:rPr>
              <w:t>Simulation</w:t>
            </w:r>
          </w:p>
        </w:tc>
        <w:tc>
          <w:tcPr>
            <w:tcW w:w="3221" w:type="dxa"/>
            <w:tcBorders>
              <w:top w:val="thinThickLargeGap" w:sz="24" w:space="0" w:color="auto"/>
            </w:tcBorders>
            <w:vAlign w:val="center"/>
          </w:tcPr>
          <w:p w:rsidR="00E026EC" w:rsidRPr="00B20331" w:rsidRDefault="00E026EC" w:rsidP="001034B1">
            <w:pPr>
              <w:jc w:val="center"/>
              <w:rPr>
                <w:lang w:val="en-GB" w:eastAsia="x-none"/>
              </w:rPr>
            </w:pPr>
            <w:r w:rsidRPr="00B20331">
              <w:rPr>
                <w:lang w:val="en-GB" w:eastAsia="x-none"/>
              </w:rPr>
              <w:t>Average Spectral Efficiency</w:t>
            </w:r>
          </w:p>
        </w:tc>
        <w:tc>
          <w:tcPr>
            <w:tcW w:w="2671" w:type="dxa"/>
            <w:tcBorders>
              <w:top w:val="thinThickLargeGap" w:sz="24" w:space="0" w:color="auto"/>
            </w:tcBorders>
          </w:tcPr>
          <w:p w:rsidR="00E026EC" w:rsidRPr="00B20331" w:rsidRDefault="00E026EC" w:rsidP="001034B1">
            <w:pPr>
              <w:jc w:val="center"/>
              <w:rPr>
                <w:lang w:val="en-GB" w:eastAsia="x-none"/>
              </w:rPr>
            </w:pPr>
            <w:r w:rsidRPr="00B20331">
              <w:rPr>
                <w:lang w:val="en-GB" w:eastAsia="x-none"/>
              </w:rPr>
              <w:t>eMBB</w:t>
            </w:r>
          </w:p>
        </w:tc>
      </w:tr>
      <w:tr w:rsidR="00E026EC" w:rsidRPr="00B20331" w:rsidTr="001034B1">
        <w:trPr>
          <w:trHeight w:val="288"/>
          <w:jc w:val="center"/>
        </w:trPr>
        <w:tc>
          <w:tcPr>
            <w:tcW w:w="3018" w:type="dxa"/>
            <w:vMerge/>
          </w:tcPr>
          <w:p w:rsidR="00E026EC" w:rsidRPr="00B20331" w:rsidRDefault="00E026EC" w:rsidP="001034B1">
            <w:pPr>
              <w:rPr>
                <w:rFonts w:ascii="Times" w:hAnsi="Times"/>
                <w:lang w:val="en-GB" w:eastAsia="x-none"/>
              </w:rPr>
            </w:pPr>
          </w:p>
        </w:tc>
        <w:tc>
          <w:tcPr>
            <w:tcW w:w="3221" w:type="dxa"/>
            <w:vAlign w:val="center"/>
          </w:tcPr>
          <w:p w:rsidR="00E026EC" w:rsidRPr="00B20331" w:rsidRDefault="00E026EC" w:rsidP="001034B1">
            <w:pPr>
              <w:jc w:val="center"/>
              <w:rPr>
                <w:lang w:val="en-GB" w:eastAsia="x-none"/>
              </w:rPr>
            </w:pPr>
            <w:r w:rsidRPr="00B20331">
              <w:rPr>
                <w:lang w:val="en-GB" w:eastAsia="x-none"/>
              </w:rPr>
              <w:t>5</w:t>
            </w:r>
            <w:r w:rsidRPr="00B20331">
              <w:rPr>
                <w:vertAlign w:val="superscript"/>
                <w:lang w:val="en-GB" w:eastAsia="x-none"/>
              </w:rPr>
              <w:t>th</w:t>
            </w:r>
            <w:r w:rsidRPr="00B20331">
              <w:rPr>
                <w:lang w:val="en-GB" w:eastAsia="x-none"/>
              </w:rPr>
              <w:t xml:space="preserve"> Percentile Spectral Efficiency</w:t>
            </w:r>
          </w:p>
        </w:tc>
        <w:tc>
          <w:tcPr>
            <w:tcW w:w="2671" w:type="dxa"/>
          </w:tcPr>
          <w:p w:rsidR="00E026EC" w:rsidRPr="00B20331" w:rsidRDefault="00E026EC" w:rsidP="001034B1">
            <w:pPr>
              <w:jc w:val="center"/>
              <w:rPr>
                <w:lang w:val="en-GB" w:eastAsia="x-none"/>
              </w:rPr>
            </w:pPr>
            <w:r w:rsidRPr="00B20331">
              <w:rPr>
                <w:lang w:val="en-GB" w:eastAsia="x-none"/>
              </w:rPr>
              <w:t>eMBB</w:t>
            </w:r>
          </w:p>
        </w:tc>
      </w:tr>
      <w:tr w:rsidR="00E026EC" w:rsidRPr="00B20331" w:rsidTr="001034B1">
        <w:trPr>
          <w:trHeight w:val="288"/>
          <w:jc w:val="center"/>
        </w:trPr>
        <w:tc>
          <w:tcPr>
            <w:tcW w:w="3018" w:type="dxa"/>
            <w:vMerge/>
          </w:tcPr>
          <w:p w:rsidR="00E026EC" w:rsidRPr="00B20331" w:rsidRDefault="00E026EC" w:rsidP="001034B1">
            <w:pPr>
              <w:rPr>
                <w:rFonts w:ascii="Times" w:hAnsi="Times"/>
                <w:lang w:val="en-GB" w:eastAsia="x-none"/>
              </w:rPr>
            </w:pPr>
          </w:p>
        </w:tc>
        <w:tc>
          <w:tcPr>
            <w:tcW w:w="3221" w:type="dxa"/>
            <w:vAlign w:val="center"/>
          </w:tcPr>
          <w:p w:rsidR="00E026EC" w:rsidRPr="00B20331" w:rsidRDefault="00E026EC" w:rsidP="001034B1">
            <w:pPr>
              <w:jc w:val="center"/>
              <w:rPr>
                <w:lang w:val="en-GB" w:eastAsia="x-none"/>
              </w:rPr>
            </w:pPr>
            <w:r w:rsidRPr="00B20331">
              <w:rPr>
                <w:lang w:val="en-GB" w:eastAsia="x-none"/>
              </w:rPr>
              <w:t>Connection Density</w:t>
            </w:r>
          </w:p>
        </w:tc>
        <w:tc>
          <w:tcPr>
            <w:tcW w:w="2671" w:type="dxa"/>
          </w:tcPr>
          <w:p w:rsidR="00E026EC" w:rsidRPr="00B20331" w:rsidRDefault="00E026EC" w:rsidP="001034B1">
            <w:pPr>
              <w:jc w:val="center"/>
              <w:rPr>
                <w:lang w:val="en-GB" w:eastAsia="x-none"/>
              </w:rPr>
            </w:pPr>
            <w:r w:rsidRPr="00B20331">
              <w:rPr>
                <w:lang w:val="en-GB" w:eastAsia="x-none"/>
              </w:rPr>
              <w:t>mMTC</w:t>
            </w:r>
          </w:p>
        </w:tc>
      </w:tr>
      <w:tr w:rsidR="00E026EC" w:rsidRPr="00B20331" w:rsidTr="001034B1">
        <w:trPr>
          <w:trHeight w:val="288"/>
          <w:jc w:val="center"/>
        </w:trPr>
        <w:tc>
          <w:tcPr>
            <w:tcW w:w="3018" w:type="dxa"/>
            <w:vMerge/>
          </w:tcPr>
          <w:p w:rsidR="00E026EC" w:rsidRPr="00B20331" w:rsidRDefault="00E026EC" w:rsidP="001034B1">
            <w:pPr>
              <w:rPr>
                <w:rFonts w:ascii="Times" w:hAnsi="Times"/>
                <w:lang w:val="en-GB" w:eastAsia="x-none"/>
              </w:rPr>
            </w:pPr>
          </w:p>
        </w:tc>
        <w:tc>
          <w:tcPr>
            <w:tcW w:w="3221" w:type="dxa"/>
            <w:vAlign w:val="center"/>
          </w:tcPr>
          <w:p w:rsidR="00E026EC" w:rsidRPr="00B20331" w:rsidRDefault="00E026EC" w:rsidP="001034B1">
            <w:pPr>
              <w:jc w:val="center"/>
              <w:rPr>
                <w:lang w:val="en-GB" w:eastAsia="x-none"/>
              </w:rPr>
            </w:pPr>
            <w:r w:rsidRPr="00B20331">
              <w:rPr>
                <w:lang w:val="en-GB" w:eastAsia="x-none"/>
              </w:rPr>
              <w:t>Mobility</w:t>
            </w:r>
          </w:p>
        </w:tc>
        <w:tc>
          <w:tcPr>
            <w:tcW w:w="2671" w:type="dxa"/>
          </w:tcPr>
          <w:p w:rsidR="00E026EC" w:rsidRPr="00B20331" w:rsidRDefault="00E026EC" w:rsidP="001034B1">
            <w:pPr>
              <w:jc w:val="center"/>
              <w:rPr>
                <w:lang w:val="en-GB" w:eastAsia="x-none"/>
              </w:rPr>
            </w:pPr>
            <w:r w:rsidRPr="00B20331">
              <w:rPr>
                <w:lang w:val="en-GB" w:eastAsia="x-none"/>
              </w:rPr>
              <w:t>eMBB</w:t>
            </w:r>
          </w:p>
        </w:tc>
      </w:tr>
      <w:tr w:rsidR="00E026EC" w:rsidRPr="00B20331" w:rsidTr="001034B1">
        <w:trPr>
          <w:trHeight w:val="288"/>
          <w:jc w:val="center"/>
        </w:trPr>
        <w:tc>
          <w:tcPr>
            <w:tcW w:w="3018" w:type="dxa"/>
            <w:vMerge/>
            <w:tcBorders>
              <w:bottom w:val="thinThickLargeGap" w:sz="24" w:space="0" w:color="auto"/>
            </w:tcBorders>
          </w:tcPr>
          <w:p w:rsidR="00E026EC" w:rsidRPr="00B20331" w:rsidRDefault="00E026EC" w:rsidP="001034B1">
            <w:pPr>
              <w:rPr>
                <w:rFonts w:ascii="Times" w:hAnsi="Times"/>
                <w:lang w:val="en-GB" w:eastAsia="x-none"/>
              </w:rPr>
            </w:pPr>
          </w:p>
        </w:tc>
        <w:tc>
          <w:tcPr>
            <w:tcW w:w="3221" w:type="dxa"/>
            <w:tcBorders>
              <w:bottom w:val="thinThickLargeGap" w:sz="24" w:space="0" w:color="auto"/>
            </w:tcBorders>
            <w:vAlign w:val="center"/>
          </w:tcPr>
          <w:p w:rsidR="00E026EC" w:rsidRPr="00B20331" w:rsidRDefault="00E026EC" w:rsidP="001034B1">
            <w:pPr>
              <w:jc w:val="center"/>
              <w:rPr>
                <w:lang w:val="en-GB" w:eastAsia="x-none"/>
              </w:rPr>
            </w:pPr>
            <w:r w:rsidRPr="00B20331">
              <w:rPr>
                <w:lang w:val="en-GB" w:eastAsia="x-none"/>
              </w:rPr>
              <w:t>Reliability</w:t>
            </w:r>
          </w:p>
        </w:tc>
        <w:tc>
          <w:tcPr>
            <w:tcW w:w="2671" w:type="dxa"/>
            <w:tcBorders>
              <w:bottom w:val="thinThickLargeGap" w:sz="24" w:space="0" w:color="auto"/>
            </w:tcBorders>
          </w:tcPr>
          <w:p w:rsidR="00E026EC" w:rsidRPr="00B20331" w:rsidRDefault="00E026EC" w:rsidP="001034B1">
            <w:pPr>
              <w:jc w:val="center"/>
              <w:rPr>
                <w:lang w:val="en-GB" w:eastAsia="x-none"/>
              </w:rPr>
            </w:pPr>
            <w:r w:rsidRPr="00B20331">
              <w:rPr>
                <w:lang w:val="en-GB" w:eastAsia="x-none"/>
              </w:rPr>
              <w:t>URLLC</w:t>
            </w:r>
          </w:p>
        </w:tc>
      </w:tr>
      <w:tr w:rsidR="00E026EC" w:rsidRPr="00B20331" w:rsidTr="001034B1">
        <w:trPr>
          <w:trHeight w:val="288"/>
          <w:jc w:val="center"/>
        </w:trPr>
        <w:tc>
          <w:tcPr>
            <w:tcW w:w="3018" w:type="dxa"/>
            <w:vMerge w:val="restart"/>
            <w:tcBorders>
              <w:top w:val="thinThickLargeGap" w:sz="24" w:space="0" w:color="auto"/>
            </w:tcBorders>
            <w:vAlign w:val="center"/>
          </w:tcPr>
          <w:p w:rsidR="00E026EC" w:rsidRPr="00B20331" w:rsidRDefault="00E026EC" w:rsidP="001034B1">
            <w:pPr>
              <w:jc w:val="center"/>
              <w:rPr>
                <w:rFonts w:ascii="Times" w:hAnsi="Times"/>
                <w:b/>
                <w:lang w:val="en-GB" w:eastAsia="x-none"/>
              </w:rPr>
            </w:pPr>
            <w:r>
              <w:rPr>
                <w:rFonts w:ascii="Times" w:hAnsi="Times"/>
                <w:b/>
                <w:lang w:val="en-GB" w:eastAsia="x-none"/>
              </w:rPr>
              <w:t>Inspection Based</w:t>
            </w:r>
          </w:p>
        </w:tc>
        <w:tc>
          <w:tcPr>
            <w:tcW w:w="3221" w:type="dxa"/>
            <w:tcBorders>
              <w:top w:val="thinThickLargeGap" w:sz="24" w:space="0" w:color="auto"/>
            </w:tcBorders>
            <w:vAlign w:val="center"/>
          </w:tcPr>
          <w:p w:rsidR="00E026EC" w:rsidRPr="00B20331" w:rsidRDefault="00E026EC" w:rsidP="001034B1">
            <w:pPr>
              <w:jc w:val="center"/>
              <w:rPr>
                <w:lang w:val="en-GB" w:eastAsia="x-none"/>
              </w:rPr>
            </w:pPr>
            <w:r w:rsidRPr="00B20331">
              <w:rPr>
                <w:lang w:val="en-GB" w:eastAsia="x-none"/>
              </w:rPr>
              <w:t>Bandwidth</w:t>
            </w:r>
          </w:p>
        </w:tc>
        <w:tc>
          <w:tcPr>
            <w:tcW w:w="2671" w:type="dxa"/>
            <w:tcBorders>
              <w:top w:val="thinThickLargeGap" w:sz="24" w:space="0" w:color="auto"/>
            </w:tcBorders>
          </w:tcPr>
          <w:p w:rsidR="00E026EC" w:rsidRPr="00B20331" w:rsidRDefault="00E026EC" w:rsidP="001034B1">
            <w:pPr>
              <w:jc w:val="center"/>
              <w:rPr>
                <w:lang w:val="en-GB" w:eastAsia="x-none"/>
              </w:rPr>
            </w:pPr>
            <w:r w:rsidRPr="00B20331">
              <w:rPr>
                <w:lang w:val="en-GB" w:eastAsia="x-none"/>
              </w:rPr>
              <w:t>N.A.</w:t>
            </w:r>
          </w:p>
        </w:tc>
      </w:tr>
      <w:tr w:rsidR="00E026EC" w:rsidRPr="00B20331" w:rsidTr="001034B1">
        <w:trPr>
          <w:trHeight w:val="288"/>
          <w:jc w:val="center"/>
        </w:trPr>
        <w:tc>
          <w:tcPr>
            <w:tcW w:w="3018" w:type="dxa"/>
            <w:vMerge/>
          </w:tcPr>
          <w:p w:rsidR="00E026EC" w:rsidRPr="00B20331" w:rsidRDefault="00E026EC" w:rsidP="001034B1">
            <w:pPr>
              <w:rPr>
                <w:rFonts w:ascii="Times" w:hAnsi="Times"/>
                <w:lang w:val="en-GB" w:eastAsia="x-none"/>
              </w:rPr>
            </w:pPr>
          </w:p>
        </w:tc>
        <w:tc>
          <w:tcPr>
            <w:tcW w:w="3221" w:type="dxa"/>
            <w:vAlign w:val="center"/>
          </w:tcPr>
          <w:p w:rsidR="00E026EC" w:rsidRPr="00B20331" w:rsidRDefault="00E026EC" w:rsidP="001034B1">
            <w:pPr>
              <w:jc w:val="center"/>
              <w:rPr>
                <w:lang w:val="en-GB" w:eastAsia="x-none"/>
              </w:rPr>
            </w:pPr>
            <w:r w:rsidRPr="00B20331">
              <w:rPr>
                <w:lang w:val="en-GB" w:eastAsia="x-none"/>
              </w:rPr>
              <w:t>Energy Efficiency</w:t>
            </w:r>
          </w:p>
        </w:tc>
        <w:tc>
          <w:tcPr>
            <w:tcW w:w="2671" w:type="dxa"/>
          </w:tcPr>
          <w:p w:rsidR="00E026EC" w:rsidRPr="00B20331" w:rsidRDefault="00E026EC" w:rsidP="001034B1">
            <w:pPr>
              <w:jc w:val="center"/>
              <w:rPr>
                <w:lang w:val="en-GB" w:eastAsia="x-none"/>
              </w:rPr>
            </w:pPr>
            <w:r w:rsidRPr="00B20331">
              <w:rPr>
                <w:lang w:val="en-GB" w:eastAsia="x-none"/>
              </w:rPr>
              <w:t>eMBB</w:t>
            </w:r>
          </w:p>
        </w:tc>
      </w:tr>
      <w:tr w:rsidR="00E026EC" w:rsidRPr="00B20331" w:rsidTr="001034B1">
        <w:trPr>
          <w:trHeight w:val="288"/>
          <w:jc w:val="center"/>
        </w:trPr>
        <w:tc>
          <w:tcPr>
            <w:tcW w:w="3018" w:type="dxa"/>
            <w:vMerge/>
          </w:tcPr>
          <w:p w:rsidR="00E026EC" w:rsidRPr="00B20331" w:rsidRDefault="00E026EC" w:rsidP="001034B1">
            <w:pPr>
              <w:rPr>
                <w:rFonts w:ascii="Times" w:hAnsi="Times"/>
                <w:lang w:val="en-GB" w:eastAsia="x-none"/>
              </w:rPr>
            </w:pPr>
          </w:p>
        </w:tc>
        <w:tc>
          <w:tcPr>
            <w:tcW w:w="3221" w:type="dxa"/>
            <w:vAlign w:val="center"/>
          </w:tcPr>
          <w:p w:rsidR="00E026EC" w:rsidRPr="00B20331" w:rsidRDefault="00E026EC" w:rsidP="001034B1">
            <w:pPr>
              <w:jc w:val="center"/>
              <w:rPr>
                <w:lang w:val="en-GB" w:eastAsia="x-none"/>
              </w:rPr>
            </w:pPr>
            <w:r w:rsidRPr="00B20331">
              <w:rPr>
                <w:lang w:val="en-GB" w:eastAsia="x-none"/>
              </w:rPr>
              <w:t>Support of wide range of services</w:t>
            </w:r>
          </w:p>
        </w:tc>
        <w:tc>
          <w:tcPr>
            <w:tcW w:w="2671" w:type="dxa"/>
          </w:tcPr>
          <w:p w:rsidR="00E026EC" w:rsidRPr="00B20331" w:rsidRDefault="00E026EC" w:rsidP="001034B1">
            <w:pPr>
              <w:jc w:val="center"/>
              <w:rPr>
                <w:lang w:val="en-GB" w:eastAsia="x-none"/>
              </w:rPr>
            </w:pPr>
            <w:r w:rsidRPr="00B20331">
              <w:rPr>
                <w:lang w:val="en-GB" w:eastAsia="x-none"/>
              </w:rPr>
              <w:t>N.A.</w:t>
            </w:r>
          </w:p>
        </w:tc>
      </w:tr>
      <w:tr w:rsidR="00E026EC" w:rsidRPr="00B20331" w:rsidTr="001034B1">
        <w:trPr>
          <w:trHeight w:val="288"/>
          <w:jc w:val="center"/>
        </w:trPr>
        <w:tc>
          <w:tcPr>
            <w:tcW w:w="3018" w:type="dxa"/>
            <w:vMerge/>
          </w:tcPr>
          <w:p w:rsidR="00E026EC" w:rsidRPr="00B20331" w:rsidRDefault="00E026EC" w:rsidP="001034B1">
            <w:pPr>
              <w:rPr>
                <w:rFonts w:ascii="Times" w:hAnsi="Times"/>
                <w:lang w:val="en-GB" w:eastAsia="x-none"/>
              </w:rPr>
            </w:pPr>
          </w:p>
        </w:tc>
        <w:tc>
          <w:tcPr>
            <w:tcW w:w="3221" w:type="dxa"/>
            <w:vAlign w:val="center"/>
          </w:tcPr>
          <w:p w:rsidR="00E026EC" w:rsidRPr="00B20331" w:rsidRDefault="00E026EC" w:rsidP="001034B1">
            <w:pPr>
              <w:jc w:val="center"/>
              <w:rPr>
                <w:lang w:val="en-GB" w:eastAsia="x-none"/>
              </w:rPr>
            </w:pPr>
            <w:r w:rsidRPr="00B20331">
              <w:rPr>
                <w:lang w:val="en-GB" w:eastAsia="x-none"/>
              </w:rPr>
              <w:t>Supported spectrum bands(s)/ranges(s)</w:t>
            </w:r>
          </w:p>
        </w:tc>
        <w:tc>
          <w:tcPr>
            <w:tcW w:w="2671" w:type="dxa"/>
          </w:tcPr>
          <w:p w:rsidR="00E026EC" w:rsidRPr="00B20331" w:rsidRDefault="00E026EC" w:rsidP="001034B1">
            <w:pPr>
              <w:jc w:val="center"/>
              <w:rPr>
                <w:lang w:val="en-GB" w:eastAsia="x-none"/>
              </w:rPr>
            </w:pPr>
            <w:r w:rsidRPr="00B20331">
              <w:rPr>
                <w:lang w:val="en-GB" w:eastAsia="x-none"/>
              </w:rPr>
              <w:t>N.A.</w:t>
            </w:r>
          </w:p>
        </w:tc>
      </w:tr>
    </w:tbl>
    <w:p w:rsidR="00E026EC" w:rsidRDefault="00E026EC" w:rsidP="00E026EC">
      <w:pPr>
        <w:jc w:val="both"/>
        <w:rPr>
          <w:lang w:eastAsia="x-none"/>
        </w:rPr>
      </w:pPr>
    </w:p>
    <w:p w:rsidR="00E026EC" w:rsidRDefault="00E026EC" w:rsidP="00E026EC">
      <w:pPr>
        <w:jc w:val="both"/>
        <w:rPr>
          <w:lang w:eastAsia="x-none"/>
        </w:rPr>
      </w:pPr>
      <w:r>
        <w:rPr>
          <w:lang w:eastAsia="x-none"/>
        </w:rPr>
        <w:t>Peak Data Rate and Spectral Efficiency are evaluated analytically, while the Area Traffic capacity is evaluated analytically from the simulated average spectral efficiency of Indoor Hotspot test environment [3]. Similarly, User Experienced Data Rate is also derived analytically from the simulated 5</w:t>
      </w:r>
      <w:r w:rsidRPr="00B06AA5">
        <w:rPr>
          <w:vertAlign w:val="superscript"/>
          <w:lang w:eastAsia="x-none"/>
        </w:rPr>
        <w:t>th</w:t>
      </w:r>
      <w:r>
        <w:rPr>
          <w:lang w:eastAsia="x-none"/>
        </w:rPr>
        <w:t xml:space="preserve"> percentile spectral efficiency of the eMBB test scenarios. </w:t>
      </w:r>
    </w:p>
    <w:p w:rsidR="00E026EC" w:rsidRDefault="00E026EC" w:rsidP="00E026EC">
      <w:pPr>
        <w:jc w:val="both"/>
        <w:rPr>
          <w:lang w:eastAsia="x-none"/>
        </w:rPr>
      </w:pPr>
      <w:r w:rsidRPr="00B20331">
        <w:rPr>
          <w:lang w:eastAsia="x-none"/>
        </w:rPr>
        <w:t>Average and 5</w:t>
      </w:r>
      <w:r w:rsidRPr="00B20331">
        <w:rPr>
          <w:vertAlign w:val="superscript"/>
          <w:lang w:eastAsia="x-none"/>
        </w:rPr>
        <w:t>th</w:t>
      </w:r>
      <w:r w:rsidRPr="00B20331">
        <w:rPr>
          <w:lang w:eastAsia="x-none"/>
        </w:rPr>
        <w:t xml:space="preserve"> percentile spectral efficiency, mobility are evaluated </w:t>
      </w:r>
      <w:r>
        <w:rPr>
          <w:lang w:eastAsia="x-none"/>
        </w:rPr>
        <w:t xml:space="preserve">based on simulations </w:t>
      </w:r>
      <w:r w:rsidRPr="00B20331">
        <w:rPr>
          <w:lang w:eastAsia="x-none"/>
        </w:rPr>
        <w:t xml:space="preserve">for three eMBB test scenarios, namely Dense-Urban – eMBB, Indoor Hotspot – eMBB and Rural Macro – eMBB [3]. Connection density is considered for </w:t>
      </w:r>
      <w:r w:rsidRPr="00B20331">
        <w:rPr>
          <w:lang w:eastAsia="x-none"/>
        </w:rPr>
        <w:lastRenderedPageBreak/>
        <w:t>the case of mMTC and Reliability is considered for the case of URLLC</w:t>
      </w:r>
      <w:r>
        <w:rPr>
          <w:lang w:eastAsia="x-none"/>
        </w:rPr>
        <w:t xml:space="preserve"> test environment</w:t>
      </w:r>
      <w:r w:rsidRPr="00B20331">
        <w:rPr>
          <w:lang w:eastAsia="x-none"/>
        </w:rPr>
        <w:t>. In the following sections, we discuss NR features and related parameters for self-evaluation</w:t>
      </w:r>
      <w:r>
        <w:rPr>
          <w:lang w:eastAsia="x-none"/>
        </w:rPr>
        <w:t xml:space="preserve"> with respect to the metrics highlighted in this section</w:t>
      </w:r>
      <w:r w:rsidRPr="00B20331">
        <w:rPr>
          <w:lang w:eastAsia="x-none"/>
        </w:rPr>
        <w:t xml:space="preserve">. </w:t>
      </w:r>
    </w:p>
    <w:p w:rsidR="00E026EC" w:rsidRDefault="00E026EC" w:rsidP="00E026EC">
      <w:pPr>
        <w:jc w:val="both"/>
        <w:rPr>
          <w:lang w:eastAsia="x-none"/>
        </w:rPr>
      </w:pPr>
    </w:p>
    <w:p w:rsidR="00E026EC" w:rsidRDefault="00E026EC" w:rsidP="00E026EC">
      <w:pPr>
        <w:pStyle w:val="Heading1"/>
        <w:rPr>
          <w:b/>
        </w:rPr>
      </w:pPr>
      <w:r>
        <w:t xml:space="preserve">Evaluation </w:t>
      </w:r>
      <w:r w:rsidR="00EB66C2">
        <w:t>Methodology</w:t>
      </w:r>
      <w:r>
        <w:t xml:space="preserve"> for Analytical Metrics</w:t>
      </w:r>
    </w:p>
    <w:p w:rsidR="00E026EC" w:rsidRDefault="00E026EC" w:rsidP="00E026EC"/>
    <w:p w:rsidR="00E026EC" w:rsidRPr="008E5BF8" w:rsidRDefault="00E026EC" w:rsidP="002A149C">
      <w:pPr>
        <w:jc w:val="both"/>
      </w:pPr>
      <w:r w:rsidRPr="008E5BF8">
        <w:t>In this se</w:t>
      </w:r>
      <w:r>
        <w:t xml:space="preserve">ction, we discuss the </w:t>
      </w:r>
      <w:r w:rsidR="00EB66C2">
        <w:t xml:space="preserve">evaluation methodology for </w:t>
      </w:r>
      <w:r>
        <w:t xml:space="preserve">analytical metrics for IMT-2020 self-evaluation which falls within the scope of RAN1 namely, Peak Data Rate, Peak Spectral Efficiency, User Experienced Data Rate and Area Traffic Capacity. </w:t>
      </w:r>
    </w:p>
    <w:p w:rsidR="00FA1514" w:rsidRPr="00FA1514" w:rsidRDefault="00FA1514" w:rsidP="00FA1514">
      <w:pPr>
        <w:pStyle w:val="ListParagraph"/>
        <w:keepNext/>
        <w:widowControl w:val="0"/>
        <w:numPr>
          <w:ilvl w:val="0"/>
          <w:numId w:val="10"/>
        </w:numPr>
        <w:spacing w:before="240" w:after="60"/>
        <w:outlineLvl w:val="1"/>
        <w:rPr>
          <w:rFonts w:ascii="Arial" w:eastAsia="Batang" w:hAnsi="Arial"/>
          <w:bCs/>
          <w:iCs/>
          <w:vanish/>
          <w:sz w:val="24"/>
          <w:szCs w:val="28"/>
          <w:lang w:val="en-GB" w:eastAsia="x-none"/>
        </w:rPr>
      </w:pPr>
    </w:p>
    <w:p w:rsidR="00FA1514" w:rsidRPr="00FA1514" w:rsidRDefault="00FA1514" w:rsidP="00FA1514">
      <w:pPr>
        <w:pStyle w:val="ListParagraph"/>
        <w:keepNext/>
        <w:widowControl w:val="0"/>
        <w:numPr>
          <w:ilvl w:val="0"/>
          <w:numId w:val="10"/>
        </w:numPr>
        <w:spacing w:before="240" w:after="60"/>
        <w:outlineLvl w:val="1"/>
        <w:rPr>
          <w:rFonts w:ascii="Arial" w:eastAsia="Batang" w:hAnsi="Arial"/>
          <w:bCs/>
          <w:iCs/>
          <w:vanish/>
          <w:sz w:val="24"/>
          <w:szCs w:val="28"/>
          <w:lang w:val="en-GB" w:eastAsia="x-none"/>
        </w:rPr>
      </w:pPr>
    </w:p>
    <w:p w:rsidR="00FA1514" w:rsidRPr="00FA1514" w:rsidRDefault="00FA1514" w:rsidP="00FA1514">
      <w:pPr>
        <w:pStyle w:val="ListParagraph"/>
        <w:keepNext/>
        <w:widowControl w:val="0"/>
        <w:numPr>
          <w:ilvl w:val="0"/>
          <w:numId w:val="10"/>
        </w:numPr>
        <w:spacing w:before="240" w:after="60"/>
        <w:outlineLvl w:val="1"/>
        <w:rPr>
          <w:rFonts w:ascii="Arial" w:eastAsia="Batang" w:hAnsi="Arial"/>
          <w:bCs/>
          <w:iCs/>
          <w:vanish/>
          <w:sz w:val="24"/>
          <w:szCs w:val="28"/>
          <w:lang w:val="en-GB" w:eastAsia="x-none"/>
        </w:rPr>
      </w:pPr>
    </w:p>
    <w:p w:rsidR="00FA1514" w:rsidRDefault="00FA1514" w:rsidP="00FA1514">
      <w:pPr>
        <w:pStyle w:val="Heading2"/>
        <w:ind w:left="720"/>
      </w:pPr>
      <w:r>
        <w:t>Peak Data Rate and Peak Spectral Efficiency</w:t>
      </w:r>
    </w:p>
    <w:p w:rsidR="002B4127" w:rsidRDefault="002B4127" w:rsidP="002B4127">
      <w:pPr>
        <w:jc w:val="both"/>
        <w:rPr>
          <w:lang w:val="en-GB"/>
        </w:rPr>
      </w:pPr>
      <w:r>
        <w:rPr>
          <w:lang w:val="en-GB"/>
        </w:rPr>
        <w:t xml:space="preserve">In this section, we present the evaluation methodology and related assumptions for NR peak data rate and peak spectral efficiency calculation. In order to facilitate the calculation, we first present an overview of the frequency ranges in which NR operate and the corresponding sub-carrier spacing and transmission bandwidth configurations. In NR, there are two different frequency ranges of operation as shown in Table </w:t>
      </w:r>
      <w:r w:rsidR="00C84511">
        <w:rPr>
          <w:lang w:val="en-GB"/>
        </w:rPr>
        <w:t>2</w:t>
      </w:r>
      <w:r>
        <w:rPr>
          <w:lang w:val="en-GB"/>
        </w:rPr>
        <w:t xml:space="preserve"> [5, 6].</w:t>
      </w:r>
    </w:p>
    <w:p w:rsidR="002B4127" w:rsidRPr="002B4127" w:rsidRDefault="002B4127" w:rsidP="002B4127">
      <w:pPr>
        <w:jc w:val="both"/>
        <w:rPr>
          <w:lang w:val="en-GB"/>
        </w:rPr>
      </w:pPr>
    </w:p>
    <w:p w:rsidR="002B4127" w:rsidRPr="002B4127" w:rsidRDefault="002B4127" w:rsidP="002B4127">
      <w:pPr>
        <w:pStyle w:val="Caption"/>
        <w:keepNext/>
        <w:jc w:val="center"/>
        <w:rPr>
          <w:rFonts w:ascii="Arial" w:hAnsi="Arial" w:cs="Arial"/>
          <w:b/>
          <w:i w:val="0"/>
          <w:color w:val="000000" w:themeColor="text1"/>
          <w:sz w:val="22"/>
          <w:szCs w:val="28"/>
        </w:rPr>
      </w:pPr>
      <w:r w:rsidRPr="002B4127">
        <w:rPr>
          <w:rFonts w:ascii="Arial" w:hAnsi="Arial" w:cs="Arial"/>
          <w:b/>
          <w:i w:val="0"/>
          <w:color w:val="000000" w:themeColor="text1"/>
          <w:sz w:val="22"/>
          <w:szCs w:val="28"/>
        </w:rPr>
        <w:t xml:space="preserve">Table </w:t>
      </w:r>
      <w:r w:rsidRPr="002B4127">
        <w:rPr>
          <w:rFonts w:ascii="Arial" w:hAnsi="Arial" w:cs="Arial"/>
          <w:b/>
          <w:i w:val="0"/>
          <w:color w:val="000000" w:themeColor="text1"/>
          <w:sz w:val="22"/>
          <w:szCs w:val="28"/>
        </w:rPr>
        <w:fldChar w:fldCharType="begin"/>
      </w:r>
      <w:r w:rsidRPr="002B4127">
        <w:rPr>
          <w:rFonts w:ascii="Arial" w:hAnsi="Arial" w:cs="Arial"/>
          <w:b/>
          <w:i w:val="0"/>
          <w:color w:val="000000" w:themeColor="text1"/>
          <w:sz w:val="22"/>
          <w:szCs w:val="28"/>
        </w:rPr>
        <w:instrText xml:space="preserve"> SEQ Table \* ARABIC </w:instrText>
      </w:r>
      <w:r w:rsidRPr="002B4127">
        <w:rPr>
          <w:rFonts w:ascii="Arial" w:hAnsi="Arial" w:cs="Arial"/>
          <w:b/>
          <w:i w:val="0"/>
          <w:color w:val="000000" w:themeColor="text1"/>
          <w:sz w:val="22"/>
          <w:szCs w:val="28"/>
        </w:rPr>
        <w:fldChar w:fldCharType="separate"/>
      </w:r>
      <w:r>
        <w:rPr>
          <w:rFonts w:ascii="Arial" w:hAnsi="Arial" w:cs="Arial"/>
          <w:b/>
          <w:i w:val="0"/>
          <w:noProof/>
          <w:color w:val="000000" w:themeColor="text1"/>
          <w:sz w:val="22"/>
          <w:szCs w:val="28"/>
        </w:rPr>
        <w:t>2</w:t>
      </w:r>
      <w:r w:rsidRPr="002B4127">
        <w:rPr>
          <w:rFonts w:ascii="Arial" w:hAnsi="Arial" w:cs="Arial"/>
          <w:b/>
          <w:i w:val="0"/>
          <w:color w:val="000000" w:themeColor="text1"/>
          <w:sz w:val="22"/>
          <w:szCs w:val="28"/>
        </w:rPr>
        <w:fldChar w:fldCharType="end"/>
      </w:r>
      <w:r w:rsidRPr="002B4127">
        <w:rPr>
          <w:rFonts w:ascii="Arial" w:hAnsi="Arial" w:cs="Arial"/>
          <w:b/>
          <w:i w:val="0"/>
          <w:color w:val="000000" w:themeColor="text1"/>
          <w:sz w:val="22"/>
          <w:szCs w:val="28"/>
        </w:rPr>
        <w:t>:</w:t>
      </w:r>
      <w:r w:rsidRPr="002B4127">
        <w:rPr>
          <w:rFonts w:ascii="Arial" w:eastAsia="Times New Roman" w:hAnsi="Arial" w:cs="Arial"/>
          <w:b/>
          <w:i w:val="0"/>
          <w:color w:val="000000" w:themeColor="text1"/>
          <w:sz w:val="22"/>
          <w:szCs w:val="28"/>
          <w:lang w:val="en-GB" w:eastAsia="en-GB"/>
        </w:rPr>
        <w:t xml:space="preserve">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2B4127" w:rsidRPr="0027780D" w:rsidTr="001034B1">
        <w:trPr>
          <w:jc w:val="center"/>
        </w:trPr>
        <w:tc>
          <w:tcPr>
            <w:tcW w:w="1951" w:type="dxa"/>
            <w:tcBorders>
              <w:top w:val="single" w:sz="4" w:space="0" w:color="auto"/>
              <w:left w:val="single" w:sz="4" w:space="0" w:color="auto"/>
              <w:bottom w:val="single" w:sz="4" w:space="0" w:color="auto"/>
              <w:right w:val="single" w:sz="4" w:space="0" w:color="auto"/>
            </w:tcBorders>
            <w:hideMark/>
          </w:tcPr>
          <w:p w:rsidR="002B4127" w:rsidRPr="0027780D" w:rsidRDefault="002B4127" w:rsidP="001034B1">
            <w:pPr>
              <w:keepNext/>
              <w:keepLines/>
              <w:overflowPunct w:val="0"/>
              <w:autoSpaceDE w:val="0"/>
              <w:autoSpaceDN w:val="0"/>
              <w:adjustRightInd w:val="0"/>
              <w:jc w:val="center"/>
              <w:textAlignment w:val="baseline"/>
              <w:rPr>
                <w:rFonts w:ascii="Arial" w:eastAsia="Times New Roman" w:hAnsi="Arial"/>
                <w:b/>
                <w:szCs w:val="20"/>
                <w:lang w:val="en-GB"/>
              </w:rPr>
            </w:pPr>
            <w:r w:rsidRPr="0027780D">
              <w:rPr>
                <w:rFonts w:ascii="Arial" w:eastAsia="Times New Roman" w:hAnsi="Arial"/>
                <w:b/>
                <w:szCs w:val="20"/>
                <w:lang w:val="en-GB"/>
              </w:rPr>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rsidR="002B4127" w:rsidRPr="0027780D" w:rsidRDefault="002B4127" w:rsidP="001034B1">
            <w:pPr>
              <w:keepNext/>
              <w:keepLines/>
              <w:overflowPunct w:val="0"/>
              <w:autoSpaceDE w:val="0"/>
              <w:autoSpaceDN w:val="0"/>
              <w:adjustRightInd w:val="0"/>
              <w:jc w:val="center"/>
              <w:textAlignment w:val="baseline"/>
              <w:rPr>
                <w:rFonts w:ascii="Arial" w:eastAsia="Times New Roman" w:hAnsi="Arial"/>
                <w:b/>
                <w:szCs w:val="20"/>
                <w:lang w:val="en-GB"/>
              </w:rPr>
            </w:pPr>
            <w:r w:rsidRPr="0027780D">
              <w:rPr>
                <w:rFonts w:ascii="Arial" w:eastAsia="Times New Roman" w:hAnsi="Arial"/>
                <w:b/>
                <w:szCs w:val="20"/>
                <w:lang w:val="en-GB"/>
              </w:rPr>
              <w:t xml:space="preserve">Corresponding frequency range </w:t>
            </w:r>
          </w:p>
        </w:tc>
      </w:tr>
      <w:tr w:rsidR="002B4127" w:rsidRPr="0027780D" w:rsidTr="001034B1">
        <w:trPr>
          <w:jc w:val="center"/>
        </w:trPr>
        <w:tc>
          <w:tcPr>
            <w:tcW w:w="1951" w:type="dxa"/>
            <w:tcBorders>
              <w:top w:val="single" w:sz="4" w:space="0" w:color="auto"/>
              <w:left w:val="single" w:sz="4" w:space="0" w:color="auto"/>
              <w:bottom w:val="single" w:sz="4" w:space="0" w:color="auto"/>
              <w:right w:val="single" w:sz="4" w:space="0" w:color="auto"/>
            </w:tcBorders>
            <w:hideMark/>
          </w:tcPr>
          <w:p w:rsidR="002B4127" w:rsidRPr="0027780D" w:rsidRDefault="002B4127" w:rsidP="001034B1">
            <w:pPr>
              <w:keepLines/>
              <w:spacing w:before="40" w:after="40"/>
              <w:jc w:val="center"/>
              <w:rPr>
                <w:rFonts w:eastAsia="SimSun"/>
                <w:szCs w:val="20"/>
                <w:lang w:val="en-GB"/>
              </w:rPr>
            </w:pPr>
            <w:r w:rsidRPr="0027780D">
              <w:rPr>
                <w:rFonts w:eastAsia="SimSun"/>
                <w:szCs w:val="20"/>
                <w:lang w:val="en-GB"/>
              </w:rPr>
              <w:t>FR1</w:t>
            </w:r>
          </w:p>
        </w:tc>
        <w:tc>
          <w:tcPr>
            <w:tcW w:w="2977" w:type="dxa"/>
            <w:tcBorders>
              <w:top w:val="single" w:sz="4" w:space="0" w:color="auto"/>
              <w:left w:val="single" w:sz="4" w:space="0" w:color="auto"/>
              <w:bottom w:val="single" w:sz="4" w:space="0" w:color="auto"/>
              <w:right w:val="single" w:sz="4" w:space="0" w:color="auto"/>
            </w:tcBorders>
            <w:hideMark/>
          </w:tcPr>
          <w:p w:rsidR="002B4127" w:rsidRPr="0027780D" w:rsidRDefault="002B4127" w:rsidP="001034B1">
            <w:pPr>
              <w:keepLines/>
              <w:spacing w:before="40" w:after="40"/>
              <w:jc w:val="center"/>
              <w:rPr>
                <w:rFonts w:eastAsia="SimSun"/>
                <w:szCs w:val="20"/>
                <w:lang w:val="en-GB"/>
              </w:rPr>
            </w:pPr>
            <w:r w:rsidRPr="0027780D">
              <w:rPr>
                <w:rFonts w:eastAsia="SimSun"/>
                <w:szCs w:val="20"/>
                <w:lang w:val="en-GB"/>
              </w:rPr>
              <w:t>450 MHz – 6000 MHz</w:t>
            </w:r>
          </w:p>
        </w:tc>
      </w:tr>
      <w:tr w:rsidR="002B4127" w:rsidRPr="0027780D" w:rsidTr="001034B1">
        <w:trPr>
          <w:jc w:val="center"/>
        </w:trPr>
        <w:tc>
          <w:tcPr>
            <w:tcW w:w="1951" w:type="dxa"/>
            <w:tcBorders>
              <w:top w:val="single" w:sz="4" w:space="0" w:color="auto"/>
              <w:left w:val="single" w:sz="4" w:space="0" w:color="auto"/>
              <w:bottom w:val="single" w:sz="4" w:space="0" w:color="auto"/>
              <w:right w:val="single" w:sz="4" w:space="0" w:color="auto"/>
            </w:tcBorders>
            <w:hideMark/>
          </w:tcPr>
          <w:p w:rsidR="002B4127" w:rsidRPr="0027780D" w:rsidRDefault="002B4127" w:rsidP="001034B1">
            <w:pPr>
              <w:keepLines/>
              <w:spacing w:before="40" w:after="40"/>
              <w:jc w:val="center"/>
              <w:rPr>
                <w:rFonts w:eastAsia="SimSun"/>
                <w:szCs w:val="20"/>
                <w:lang w:val="en-GB"/>
              </w:rPr>
            </w:pPr>
            <w:r w:rsidRPr="0027780D">
              <w:rPr>
                <w:rFonts w:eastAsia="SimSun"/>
                <w:szCs w:val="20"/>
                <w:lang w:val="en-GB"/>
              </w:rPr>
              <w:t>FR2</w:t>
            </w:r>
          </w:p>
        </w:tc>
        <w:tc>
          <w:tcPr>
            <w:tcW w:w="2977" w:type="dxa"/>
            <w:tcBorders>
              <w:top w:val="single" w:sz="4" w:space="0" w:color="auto"/>
              <w:left w:val="single" w:sz="4" w:space="0" w:color="auto"/>
              <w:bottom w:val="single" w:sz="4" w:space="0" w:color="auto"/>
              <w:right w:val="single" w:sz="4" w:space="0" w:color="auto"/>
            </w:tcBorders>
            <w:hideMark/>
          </w:tcPr>
          <w:p w:rsidR="002B4127" w:rsidRPr="0027780D" w:rsidRDefault="002B4127" w:rsidP="001034B1">
            <w:pPr>
              <w:keepLines/>
              <w:spacing w:before="40" w:after="40"/>
              <w:jc w:val="center"/>
              <w:rPr>
                <w:rFonts w:eastAsia="SimSun"/>
                <w:szCs w:val="20"/>
                <w:lang w:val="en-GB"/>
              </w:rPr>
            </w:pPr>
            <w:r w:rsidRPr="0027780D">
              <w:rPr>
                <w:rFonts w:eastAsia="SimSun"/>
                <w:szCs w:val="20"/>
                <w:lang w:val="en-GB"/>
              </w:rPr>
              <w:t>24250 MHz – 52600 MHz</w:t>
            </w:r>
          </w:p>
        </w:tc>
      </w:tr>
    </w:tbl>
    <w:p w:rsidR="002B4127" w:rsidRDefault="002B4127" w:rsidP="002B4127">
      <w:pPr>
        <w:jc w:val="both"/>
        <w:rPr>
          <w:lang w:val="en-GB"/>
        </w:rPr>
      </w:pPr>
    </w:p>
    <w:p w:rsidR="002B4127" w:rsidRDefault="002B4127" w:rsidP="002969B3">
      <w:pPr>
        <w:jc w:val="both"/>
        <w:rPr>
          <w:szCs w:val="20"/>
          <w:lang w:eastAsia="zh-CN"/>
        </w:rPr>
      </w:pPr>
      <w:r>
        <w:rPr>
          <w:lang w:val="en-GB"/>
        </w:rPr>
        <w:t xml:space="preserve">Furthermore, multiple combinations of system bandwidth and subcarrier spacing are also supported by NR as shown in Tables </w:t>
      </w:r>
      <w:r w:rsidR="002969B3">
        <w:rPr>
          <w:lang w:val="en-GB"/>
        </w:rPr>
        <w:t xml:space="preserve">3 </w:t>
      </w:r>
      <w:r>
        <w:rPr>
          <w:lang w:val="en-GB"/>
        </w:rPr>
        <w:t xml:space="preserve">and </w:t>
      </w:r>
      <w:r w:rsidR="002969B3">
        <w:rPr>
          <w:lang w:val="en-GB"/>
        </w:rPr>
        <w:t>4</w:t>
      </w:r>
      <w:r>
        <w:rPr>
          <w:lang w:val="en-GB"/>
        </w:rPr>
        <w:t>.</w:t>
      </w:r>
      <w:bookmarkStart w:id="1" w:name="_Hlk497144372"/>
      <w:r>
        <w:t xml:space="preserve"> </w:t>
      </w:r>
      <w:bookmarkEnd w:id="1"/>
    </w:p>
    <w:p w:rsidR="002B4127" w:rsidRPr="002B4127" w:rsidRDefault="002B4127" w:rsidP="002969B3">
      <w:pPr>
        <w:pStyle w:val="TH"/>
        <w:rPr>
          <w:sz w:val="20"/>
          <w:szCs w:val="20"/>
          <w:lang w:eastAsia="zh-CN"/>
        </w:rPr>
      </w:pPr>
      <w:r>
        <w:t xml:space="preserve">Table </w:t>
      </w:r>
      <w:r>
        <w:fldChar w:fldCharType="begin"/>
      </w:r>
      <w:r>
        <w:instrText xml:space="preserve"> SEQ Table \* ARABIC </w:instrText>
      </w:r>
      <w:r>
        <w:fldChar w:fldCharType="separate"/>
      </w:r>
      <w:r>
        <w:rPr>
          <w:noProof/>
        </w:rPr>
        <w:t>3</w:t>
      </w:r>
      <w:r>
        <w:fldChar w:fldCharType="end"/>
      </w:r>
      <w:r>
        <w:t>:</w:t>
      </w:r>
      <w:r w:rsidRPr="002B4127">
        <w:t xml:space="preserve"> </w:t>
      </w:r>
      <w:r>
        <w:t>Maximum transmission bandwidth configuration N</w:t>
      </w:r>
      <w:r>
        <w:rPr>
          <w:vertAlign w:val="subscript"/>
        </w:rPr>
        <w:t xml:space="preserve">RB </w:t>
      </w:r>
      <w:r>
        <w:t>in FR1</w:t>
      </w:r>
    </w:p>
    <w:tbl>
      <w:tblPr>
        <w:tblpPr w:leftFromText="142" w:rightFromText="142" w:vertAnchor="text" w:tblpXSpec="center" w:tblpY="1"/>
        <w:tblOverlap w:val="neve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7"/>
        <w:gridCol w:w="839"/>
        <w:gridCol w:w="849"/>
        <w:gridCol w:w="849"/>
        <w:gridCol w:w="839"/>
        <w:gridCol w:w="839"/>
        <w:gridCol w:w="839"/>
        <w:gridCol w:w="839"/>
        <w:gridCol w:w="849"/>
        <w:gridCol w:w="841"/>
        <w:gridCol w:w="841"/>
        <w:gridCol w:w="833"/>
      </w:tblGrid>
      <w:tr w:rsidR="002B4127" w:rsidTr="001034B1">
        <w:tc>
          <w:tcPr>
            <w:tcW w:w="322" w:type="pct"/>
            <w:vMerge w:val="restar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Default="002B4127" w:rsidP="001034B1">
            <w:pPr>
              <w:pStyle w:val="TAH"/>
              <w:rPr>
                <w:lang w:eastAsia="en-US"/>
              </w:rPr>
            </w:pPr>
            <w:r>
              <w:rPr>
                <w:lang w:eastAsia="en-US"/>
              </w:rPr>
              <w:t>SCS (kHz)</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Default="002B4127" w:rsidP="001034B1">
            <w:pPr>
              <w:pStyle w:val="TAH"/>
              <w:rPr>
                <w:lang w:eastAsia="en-US"/>
              </w:rPr>
            </w:pPr>
            <w:r>
              <w:rPr>
                <w:lang w:eastAsia="en-US"/>
              </w:rPr>
              <w:t>5MHz</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Default="002B4127" w:rsidP="001034B1">
            <w:pPr>
              <w:pStyle w:val="TAH"/>
              <w:rPr>
                <w:lang w:eastAsia="en-US"/>
              </w:rPr>
            </w:pPr>
            <w:r>
              <w:rPr>
                <w:lang w:eastAsia="en-US"/>
              </w:rPr>
              <w:t>10MHz</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Default="002B4127" w:rsidP="001034B1">
            <w:pPr>
              <w:pStyle w:val="TAH"/>
              <w:rPr>
                <w:lang w:eastAsia="en-US"/>
              </w:rPr>
            </w:pPr>
            <w:r>
              <w:rPr>
                <w:lang w:eastAsia="en-US"/>
              </w:rPr>
              <w:t>15MHz</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Default="002B4127" w:rsidP="001034B1">
            <w:pPr>
              <w:pStyle w:val="TAH"/>
              <w:rPr>
                <w:lang w:eastAsia="en-US"/>
              </w:rPr>
            </w:pPr>
            <w:r>
              <w:rPr>
                <w:lang w:eastAsia="en-US"/>
              </w:rPr>
              <w:t>20 MHz</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Default="002B4127" w:rsidP="001034B1">
            <w:pPr>
              <w:pStyle w:val="TAH"/>
              <w:rPr>
                <w:lang w:eastAsia="en-US"/>
              </w:rPr>
            </w:pPr>
            <w:r>
              <w:rPr>
                <w:lang w:eastAsia="en-US"/>
              </w:rPr>
              <w:t>25 MHz</w:t>
            </w:r>
          </w:p>
        </w:tc>
        <w:tc>
          <w:tcPr>
            <w:tcW w:w="424" w:type="pct"/>
            <w:tcBorders>
              <w:top w:val="single" w:sz="4" w:space="0" w:color="auto"/>
              <w:left w:val="single" w:sz="4" w:space="0" w:color="auto"/>
              <w:bottom w:val="single" w:sz="4" w:space="0" w:color="auto"/>
              <w:right w:val="single" w:sz="4" w:space="0" w:color="auto"/>
            </w:tcBorders>
            <w:vAlign w:val="center"/>
          </w:tcPr>
          <w:p w:rsidR="002B4127" w:rsidRDefault="002B4127" w:rsidP="001034B1">
            <w:pPr>
              <w:pStyle w:val="TAH"/>
              <w:rPr>
                <w:lang w:eastAsia="en-US"/>
              </w:rPr>
            </w:pPr>
            <w:r>
              <w:rPr>
                <w:lang w:eastAsia="en-US"/>
              </w:rPr>
              <w:t>30 MHz</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Default="002B4127" w:rsidP="001034B1">
            <w:pPr>
              <w:pStyle w:val="TAH"/>
              <w:rPr>
                <w:lang w:eastAsia="en-US"/>
              </w:rPr>
            </w:pPr>
            <w:r>
              <w:rPr>
                <w:lang w:eastAsia="en-US"/>
              </w:rPr>
              <w:t>40 MHz</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Default="002B4127" w:rsidP="001034B1">
            <w:pPr>
              <w:pStyle w:val="TAH"/>
              <w:rPr>
                <w:lang w:eastAsia="en-US"/>
              </w:rPr>
            </w:pPr>
            <w:r>
              <w:rPr>
                <w:lang w:eastAsia="en-US"/>
              </w:rPr>
              <w:t>50MHz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Default="002B4127" w:rsidP="001034B1">
            <w:pPr>
              <w:pStyle w:val="TAH"/>
              <w:rPr>
                <w:lang w:eastAsia="en-US"/>
              </w:rPr>
            </w:pPr>
            <w:r>
              <w:rPr>
                <w:lang w:eastAsia="en-US"/>
              </w:rPr>
              <w:t>60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Default="002B4127" w:rsidP="001034B1">
            <w:pPr>
              <w:pStyle w:val="TAH"/>
              <w:rPr>
                <w:lang w:eastAsia="en-US"/>
              </w:rPr>
            </w:pPr>
            <w:r>
              <w:rPr>
                <w:lang w:eastAsia="en-US"/>
              </w:rPr>
              <w:t>80 MHz</w:t>
            </w:r>
          </w:p>
        </w:tc>
        <w:tc>
          <w:tcPr>
            <w:tcW w:w="42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Default="002B4127" w:rsidP="001034B1">
            <w:pPr>
              <w:pStyle w:val="TAH"/>
              <w:rPr>
                <w:lang w:eastAsia="en-US"/>
              </w:rPr>
            </w:pPr>
            <w:r>
              <w:rPr>
                <w:lang w:eastAsia="en-US"/>
              </w:rPr>
              <w:t>100 MHz</w:t>
            </w:r>
          </w:p>
        </w:tc>
      </w:tr>
      <w:tr w:rsidR="002B4127" w:rsidTr="001034B1">
        <w:tc>
          <w:tcPr>
            <w:tcW w:w="0" w:type="auto"/>
            <w:vMerge/>
            <w:tcBorders>
              <w:top w:val="single" w:sz="4" w:space="0" w:color="auto"/>
              <w:left w:val="single" w:sz="4" w:space="0" w:color="auto"/>
              <w:bottom w:val="single" w:sz="4" w:space="0" w:color="auto"/>
              <w:right w:val="single" w:sz="4" w:space="0" w:color="auto"/>
            </w:tcBorders>
            <w:vAlign w:val="center"/>
            <w:hideMark/>
          </w:tcPr>
          <w:p w:rsidR="002B4127" w:rsidRDefault="002B4127" w:rsidP="001034B1">
            <w:pPr>
              <w:rPr>
                <w:rFonts w:ascii="Arial" w:eastAsia="Times New Roman" w:hAnsi="Arial"/>
                <w:b/>
                <w:sz w:val="18"/>
                <w:szCs w:val="20"/>
                <w:lang w:val="en-GB"/>
              </w:rPr>
            </w:pP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Default="002B4127" w:rsidP="001034B1">
            <w:pPr>
              <w:pStyle w:val="TAH"/>
              <w:rPr>
                <w:lang w:eastAsia="en-US"/>
              </w:rPr>
            </w:pPr>
            <w:r>
              <w:rPr>
                <w:lang w:eastAsia="en-US"/>
              </w:rPr>
              <w:t>N</w:t>
            </w:r>
            <w:r>
              <w:rPr>
                <w:vertAlign w:val="subscript"/>
                <w:lang w:eastAsia="en-US"/>
              </w:rPr>
              <w:t>RB</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Default="002B4127" w:rsidP="001034B1">
            <w:pPr>
              <w:pStyle w:val="TAH"/>
              <w:rPr>
                <w:lang w:eastAsia="en-US"/>
              </w:rPr>
            </w:pPr>
            <w:r>
              <w:rPr>
                <w:lang w:eastAsia="en-US"/>
              </w:rPr>
              <w:t>N</w:t>
            </w:r>
            <w:r>
              <w:rPr>
                <w:vertAlign w:val="subscript"/>
                <w:lang w:eastAsia="en-US"/>
              </w:rPr>
              <w:t>RB</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Default="002B4127" w:rsidP="001034B1">
            <w:pPr>
              <w:pStyle w:val="TAH"/>
              <w:rPr>
                <w:lang w:eastAsia="en-US"/>
              </w:rPr>
            </w:pPr>
            <w:r>
              <w:rPr>
                <w:lang w:eastAsia="en-US"/>
              </w:rPr>
              <w:t>N</w:t>
            </w:r>
            <w:r>
              <w:rPr>
                <w:vertAlign w:val="subscript"/>
                <w:lang w:eastAsia="en-US"/>
              </w:rPr>
              <w:t>RB</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Default="002B4127" w:rsidP="001034B1">
            <w:pPr>
              <w:pStyle w:val="TAH"/>
              <w:rPr>
                <w:lang w:eastAsia="en-US"/>
              </w:rPr>
            </w:pPr>
            <w:r>
              <w:rPr>
                <w:lang w:eastAsia="en-US"/>
              </w:rPr>
              <w:t>N</w:t>
            </w:r>
            <w:r>
              <w:rPr>
                <w:vertAlign w:val="subscript"/>
                <w:lang w:eastAsia="en-US"/>
              </w:rPr>
              <w:t>RB</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Default="002B4127" w:rsidP="001034B1">
            <w:pPr>
              <w:pStyle w:val="TAH"/>
              <w:rPr>
                <w:lang w:eastAsia="en-US"/>
              </w:rPr>
            </w:pPr>
            <w:r>
              <w:rPr>
                <w:lang w:eastAsia="en-US"/>
              </w:rPr>
              <w:t>N</w:t>
            </w:r>
            <w:r>
              <w:rPr>
                <w:vertAlign w:val="subscript"/>
                <w:lang w:eastAsia="en-US"/>
              </w:rPr>
              <w:t>RB</w:t>
            </w:r>
          </w:p>
        </w:tc>
        <w:tc>
          <w:tcPr>
            <w:tcW w:w="424" w:type="pct"/>
            <w:tcBorders>
              <w:top w:val="single" w:sz="4" w:space="0" w:color="auto"/>
              <w:left w:val="single" w:sz="4" w:space="0" w:color="auto"/>
              <w:bottom w:val="single" w:sz="4" w:space="0" w:color="auto"/>
              <w:right w:val="single" w:sz="4" w:space="0" w:color="auto"/>
            </w:tcBorders>
            <w:vAlign w:val="center"/>
          </w:tcPr>
          <w:p w:rsidR="002B4127" w:rsidRDefault="002B4127" w:rsidP="001034B1">
            <w:pPr>
              <w:pStyle w:val="TAH"/>
              <w:rPr>
                <w:lang w:eastAsia="en-US"/>
              </w:rPr>
            </w:pPr>
            <w:r>
              <w:rPr>
                <w:lang w:eastAsia="en-US"/>
              </w:rPr>
              <w:t>N</w:t>
            </w:r>
            <w:r>
              <w:rPr>
                <w:vertAlign w:val="subscript"/>
                <w:lang w:eastAsia="en-US"/>
              </w:rPr>
              <w:t>RB</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Default="002B4127" w:rsidP="001034B1">
            <w:pPr>
              <w:pStyle w:val="TAH"/>
              <w:rPr>
                <w:lang w:eastAsia="en-US"/>
              </w:rPr>
            </w:pPr>
            <w:r>
              <w:rPr>
                <w:lang w:eastAsia="en-US"/>
              </w:rPr>
              <w:t>N</w:t>
            </w:r>
            <w:r>
              <w:rPr>
                <w:vertAlign w:val="subscript"/>
                <w:lang w:eastAsia="en-US"/>
              </w:rPr>
              <w:t>RB</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Default="002B4127" w:rsidP="001034B1">
            <w:pPr>
              <w:pStyle w:val="TAH"/>
              <w:rPr>
                <w:lang w:eastAsia="en-US"/>
              </w:rPr>
            </w:pPr>
            <w:r>
              <w:rPr>
                <w:lang w:eastAsia="en-US"/>
              </w:rPr>
              <w:t>N</w:t>
            </w:r>
            <w:r>
              <w:rPr>
                <w:vertAlign w:val="subscript"/>
                <w:lang w:eastAsia="en-US"/>
              </w:rPr>
              <w:t>RB</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Default="002B4127" w:rsidP="001034B1">
            <w:pPr>
              <w:pStyle w:val="TAH"/>
              <w:rPr>
                <w:lang w:eastAsia="en-US"/>
              </w:rPr>
            </w:pPr>
            <w:r>
              <w:rPr>
                <w:lang w:eastAsia="en-US"/>
              </w:rPr>
              <w:t>N</w:t>
            </w:r>
            <w:r>
              <w:rPr>
                <w:vertAlign w:val="subscript"/>
                <w:lang w:eastAsia="en-US"/>
              </w:rPr>
              <w:t>RB</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Default="002B4127" w:rsidP="001034B1">
            <w:pPr>
              <w:pStyle w:val="TAH"/>
              <w:rPr>
                <w:lang w:eastAsia="en-US"/>
              </w:rPr>
            </w:pPr>
            <w:r>
              <w:rPr>
                <w:lang w:eastAsia="en-US"/>
              </w:rPr>
              <w:t>N</w:t>
            </w:r>
            <w:r>
              <w:rPr>
                <w:vertAlign w:val="subscript"/>
                <w:lang w:eastAsia="en-US"/>
              </w:rPr>
              <w:t>RB</w:t>
            </w:r>
          </w:p>
        </w:tc>
        <w:tc>
          <w:tcPr>
            <w:tcW w:w="42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Default="002B4127" w:rsidP="001034B1">
            <w:pPr>
              <w:pStyle w:val="TAH"/>
              <w:rPr>
                <w:lang w:eastAsia="en-US"/>
              </w:rPr>
            </w:pPr>
            <w:r>
              <w:rPr>
                <w:lang w:eastAsia="en-US"/>
              </w:rPr>
              <w:t>N</w:t>
            </w:r>
            <w:r>
              <w:rPr>
                <w:vertAlign w:val="subscript"/>
                <w:lang w:eastAsia="en-US"/>
              </w:rPr>
              <w:t>RB</w:t>
            </w:r>
          </w:p>
        </w:tc>
      </w:tr>
      <w:tr w:rsidR="002B4127" w:rsidTr="001034B1">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Pr="00C90441" w:rsidRDefault="002B4127" w:rsidP="001034B1">
            <w:pPr>
              <w:pStyle w:val="TAC"/>
              <w:rPr>
                <w:rFonts w:ascii="Times New Roman" w:hAnsi="Times New Roman"/>
              </w:rPr>
            </w:pPr>
            <w:r w:rsidRPr="00C90441">
              <w:rPr>
                <w:rFonts w:ascii="Times New Roman" w:hAnsi="Times New Roman"/>
              </w:rPr>
              <w:t>15</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Pr="00C90441" w:rsidRDefault="002B4127" w:rsidP="001034B1">
            <w:pPr>
              <w:pStyle w:val="TAC"/>
              <w:rPr>
                <w:rFonts w:ascii="Times New Roman" w:hAnsi="Times New Roman"/>
              </w:rPr>
            </w:pPr>
            <w:r w:rsidRPr="00C90441">
              <w:rPr>
                <w:rFonts w:ascii="Times New Roman" w:hAnsi="Times New Roman"/>
              </w:rPr>
              <w:t>25</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Pr="00C90441" w:rsidRDefault="002B4127" w:rsidP="001034B1">
            <w:pPr>
              <w:pStyle w:val="TAC"/>
              <w:rPr>
                <w:rFonts w:ascii="Times New Roman" w:hAnsi="Times New Roman"/>
              </w:rPr>
            </w:pPr>
            <w:r w:rsidRPr="00C90441">
              <w:rPr>
                <w:rFonts w:ascii="Times New Roman" w:hAnsi="Times New Roman"/>
              </w:rPr>
              <w:t>52</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Pr="00C90441" w:rsidRDefault="002B4127" w:rsidP="001034B1">
            <w:pPr>
              <w:pStyle w:val="TAC"/>
              <w:rPr>
                <w:rFonts w:ascii="Times New Roman" w:hAnsi="Times New Roman"/>
              </w:rPr>
            </w:pPr>
            <w:r w:rsidRPr="00C90441">
              <w:rPr>
                <w:rFonts w:ascii="Times New Roman" w:hAnsi="Times New Roman"/>
              </w:rPr>
              <w:t>79</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Pr="00C90441" w:rsidRDefault="002B4127" w:rsidP="001034B1">
            <w:pPr>
              <w:pStyle w:val="TAC"/>
              <w:rPr>
                <w:rFonts w:ascii="Times New Roman" w:hAnsi="Times New Roman"/>
              </w:rPr>
            </w:pPr>
            <w:r w:rsidRPr="00C90441">
              <w:rPr>
                <w:rFonts w:ascii="Times New Roman" w:hAnsi="Times New Roman"/>
              </w:rPr>
              <w:t>106</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Pr="00C90441" w:rsidRDefault="002B4127" w:rsidP="001034B1">
            <w:pPr>
              <w:pStyle w:val="TAC"/>
              <w:rPr>
                <w:rFonts w:ascii="Times New Roman" w:hAnsi="Times New Roman"/>
              </w:rPr>
            </w:pPr>
            <w:r w:rsidRPr="00C90441">
              <w:rPr>
                <w:rFonts w:ascii="Times New Roman" w:hAnsi="Times New Roman"/>
              </w:rPr>
              <w:t>133</w:t>
            </w:r>
          </w:p>
        </w:tc>
        <w:tc>
          <w:tcPr>
            <w:tcW w:w="424" w:type="pct"/>
            <w:tcBorders>
              <w:top w:val="single" w:sz="4" w:space="0" w:color="auto"/>
              <w:left w:val="single" w:sz="4" w:space="0" w:color="auto"/>
              <w:bottom w:val="single" w:sz="4" w:space="0" w:color="auto"/>
              <w:right w:val="single" w:sz="4" w:space="0" w:color="auto"/>
            </w:tcBorders>
            <w:vAlign w:val="center"/>
          </w:tcPr>
          <w:p w:rsidR="002B4127" w:rsidRPr="00C90441" w:rsidRDefault="002B4127" w:rsidP="001034B1">
            <w:pPr>
              <w:pStyle w:val="TAC"/>
              <w:rPr>
                <w:rFonts w:ascii="Times New Roman" w:hAnsi="Times New Roman"/>
              </w:rPr>
            </w:pPr>
            <w:r>
              <w:rPr>
                <w:rFonts w:ascii="Times New Roman" w:hAnsi="Times New Roman"/>
              </w:rPr>
              <w:t>[160]</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Pr="00C90441" w:rsidRDefault="002B4127" w:rsidP="001034B1">
            <w:pPr>
              <w:pStyle w:val="TAC"/>
              <w:rPr>
                <w:rFonts w:ascii="Times New Roman" w:hAnsi="Times New Roman"/>
              </w:rPr>
            </w:pPr>
            <w:r w:rsidRPr="00C90441">
              <w:rPr>
                <w:rFonts w:ascii="Times New Roman" w:hAnsi="Times New Roman"/>
              </w:rPr>
              <w:t>216</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Pr="00C90441" w:rsidRDefault="002B4127" w:rsidP="001034B1">
            <w:pPr>
              <w:pStyle w:val="TAC"/>
              <w:rPr>
                <w:rFonts w:ascii="Times New Roman" w:hAnsi="Times New Roman"/>
              </w:rPr>
            </w:pPr>
            <w:r w:rsidRPr="00C90441">
              <w:rPr>
                <w:rFonts w:ascii="Times New Roman" w:hAnsi="Times New Roman"/>
              </w:rPr>
              <w:t>270</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Pr="00C90441" w:rsidRDefault="002B4127" w:rsidP="001034B1">
            <w:pPr>
              <w:pStyle w:val="TAC"/>
              <w:rPr>
                <w:rFonts w:ascii="Times New Roman" w:hAnsi="Times New Roman"/>
              </w:rPr>
            </w:pPr>
            <w:r w:rsidRPr="00C90441">
              <w:rPr>
                <w:rFonts w:ascii="Times New Roman" w:hAnsi="Times New Roman"/>
              </w:rPr>
              <w:t>N/A</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Pr="00C90441" w:rsidRDefault="002B4127" w:rsidP="001034B1">
            <w:pPr>
              <w:pStyle w:val="TAC"/>
              <w:rPr>
                <w:rFonts w:ascii="Times New Roman" w:hAnsi="Times New Roman"/>
              </w:rPr>
            </w:pPr>
            <w:r w:rsidRPr="00C90441">
              <w:rPr>
                <w:rFonts w:ascii="Times New Roman" w:hAnsi="Times New Roman"/>
              </w:rPr>
              <w:t>N/A</w:t>
            </w:r>
          </w:p>
        </w:tc>
        <w:tc>
          <w:tcPr>
            <w:tcW w:w="42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Pr="00C90441" w:rsidRDefault="002B4127" w:rsidP="001034B1">
            <w:pPr>
              <w:pStyle w:val="TAC"/>
              <w:rPr>
                <w:rFonts w:ascii="Times New Roman" w:hAnsi="Times New Roman"/>
              </w:rPr>
            </w:pPr>
            <w:r w:rsidRPr="00C90441">
              <w:rPr>
                <w:rFonts w:ascii="Times New Roman" w:hAnsi="Times New Roman"/>
              </w:rPr>
              <w:t>N/A</w:t>
            </w:r>
          </w:p>
        </w:tc>
      </w:tr>
      <w:tr w:rsidR="002B4127" w:rsidTr="001034B1">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Pr="00C90441" w:rsidRDefault="002B4127" w:rsidP="001034B1">
            <w:pPr>
              <w:pStyle w:val="TAC"/>
              <w:rPr>
                <w:rFonts w:ascii="Times New Roman" w:hAnsi="Times New Roman"/>
              </w:rPr>
            </w:pPr>
            <w:r w:rsidRPr="00C90441">
              <w:rPr>
                <w:rFonts w:ascii="Times New Roman" w:hAnsi="Times New Roman"/>
              </w:rPr>
              <w:t>30</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Pr="00C90441" w:rsidRDefault="002B4127" w:rsidP="001034B1">
            <w:pPr>
              <w:pStyle w:val="TAC"/>
              <w:rPr>
                <w:rFonts w:ascii="Times New Roman" w:hAnsi="Times New Roman"/>
              </w:rPr>
            </w:pPr>
            <w:r w:rsidRPr="00C90441">
              <w:rPr>
                <w:rFonts w:ascii="Times New Roman" w:hAnsi="Times New Roman"/>
              </w:rPr>
              <w:t>11</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Pr="00C90441" w:rsidRDefault="002B4127" w:rsidP="001034B1">
            <w:pPr>
              <w:pStyle w:val="TAC"/>
              <w:rPr>
                <w:rFonts w:ascii="Times New Roman" w:hAnsi="Times New Roman"/>
              </w:rPr>
            </w:pPr>
            <w:r w:rsidRPr="00C90441">
              <w:rPr>
                <w:rFonts w:ascii="Times New Roman" w:hAnsi="Times New Roman"/>
              </w:rPr>
              <w:t>24</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Pr="00C90441" w:rsidRDefault="002B4127" w:rsidP="001034B1">
            <w:pPr>
              <w:pStyle w:val="TAC"/>
              <w:rPr>
                <w:rFonts w:ascii="Times New Roman" w:hAnsi="Times New Roman"/>
              </w:rPr>
            </w:pPr>
            <w:r w:rsidRPr="00C90441">
              <w:rPr>
                <w:rFonts w:ascii="Times New Roman" w:hAnsi="Times New Roman"/>
              </w:rPr>
              <w:t>38</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Pr="00C90441" w:rsidRDefault="002B4127" w:rsidP="001034B1">
            <w:pPr>
              <w:pStyle w:val="TAC"/>
              <w:rPr>
                <w:rFonts w:ascii="Times New Roman" w:hAnsi="Times New Roman"/>
              </w:rPr>
            </w:pPr>
            <w:r w:rsidRPr="00C90441">
              <w:rPr>
                <w:rFonts w:ascii="Times New Roman" w:hAnsi="Times New Roman"/>
              </w:rPr>
              <w:t>51</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Pr="00C90441" w:rsidRDefault="002B4127" w:rsidP="001034B1">
            <w:pPr>
              <w:pStyle w:val="TAC"/>
              <w:rPr>
                <w:rFonts w:ascii="Times New Roman" w:hAnsi="Times New Roman"/>
              </w:rPr>
            </w:pPr>
            <w:r w:rsidRPr="00C90441">
              <w:rPr>
                <w:rFonts w:ascii="Times New Roman" w:hAnsi="Times New Roman"/>
              </w:rPr>
              <w:t>65</w:t>
            </w:r>
          </w:p>
        </w:tc>
        <w:tc>
          <w:tcPr>
            <w:tcW w:w="424" w:type="pct"/>
            <w:tcBorders>
              <w:top w:val="single" w:sz="4" w:space="0" w:color="auto"/>
              <w:left w:val="single" w:sz="4" w:space="0" w:color="auto"/>
              <w:bottom w:val="single" w:sz="4" w:space="0" w:color="auto"/>
              <w:right w:val="single" w:sz="4" w:space="0" w:color="auto"/>
            </w:tcBorders>
            <w:vAlign w:val="center"/>
          </w:tcPr>
          <w:p w:rsidR="002B4127" w:rsidRPr="00C90441" w:rsidRDefault="002B4127" w:rsidP="001034B1">
            <w:pPr>
              <w:pStyle w:val="TAC"/>
              <w:rPr>
                <w:rFonts w:ascii="Times New Roman" w:hAnsi="Times New Roman"/>
              </w:rPr>
            </w:pPr>
            <w:r>
              <w:rPr>
                <w:rFonts w:ascii="Times New Roman" w:hAnsi="Times New Roman"/>
              </w:rPr>
              <w:t>[78]</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Pr="00C90441" w:rsidRDefault="002B4127" w:rsidP="001034B1">
            <w:pPr>
              <w:pStyle w:val="TAC"/>
              <w:rPr>
                <w:rFonts w:ascii="Times New Roman" w:hAnsi="Times New Roman"/>
              </w:rPr>
            </w:pPr>
            <w:r w:rsidRPr="00C90441">
              <w:rPr>
                <w:rFonts w:ascii="Times New Roman" w:hAnsi="Times New Roman"/>
              </w:rPr>
              <w:t>106</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Pr="00C90441" w:rsidRDefault="002B4127" w:rsidP="001034B1">
            <w:pPr>
              <w:pStyle w:val="TAC"/>
              <w:rPr>
                <w:rFonts w:ascii="Times New Roman" w:hAnsi="Times New Roman"/>
              </w:rPr>
            </w:pPr>
            <w:r w:rsidRPr="00C90441">
              <w:rPr>
                <w:rFonts w:ascii="Times New Roman" w:hAnsi="Times New Roman"/>
              </w:rPr>
              <w:t>133</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Pr="00C90441" w:rsidRDefault="002B4127" w:rsidP="001034B1">
            <w:pPr>
              <w:pStyle w:val="TAC"/>
              <w:rPr>
                <w:rFonts w:ascii="Times New Roman" w:hAnsi="Times New Roman"/>
              </w:rPr>
            </w:pPr>
            <w:r w:rsidRPr="00C90441">
              <w:rPr>
                <w:rFonts w:ascii="Times New Roman" w:hAnsi="Times New Roman"/>
              </w:rPr>
              <w:t>162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Pr="00C90441" w:rsidRDefault="002B4127" w:rsidP="001034B1">
            <w:pPr>
              <w:pStyle w:val="TAC"/>
              <w:rPr>
                <w:rFonts w:ascii="Times New Roman" w:hAnsi="Times New Roman"/>
              </w:rPr>
            </w:pPr>
            <w:r w:rsidRPr="00C90441">
              <w:rPr>
                <w:rFonts w:ascii="Times New Roman" w:hAnsi="Times New Roman"/>
              </w:rPr>
              <w:t>217</w:t>
            </w:r>
          </w:p>
        </w:tc>
        <w:tc>
          <w:tcPr>
            <w:tcW w:w="42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Pr="00C90441" w:rsidRDefault="002B4127" w:rsidP="001034B1">
            <w:pPr>
              <w:pStyle w:val="TAC"/>
              <w:rPr>
                <w:rFonts w:ascii="Times New Roman" w:hAnsi="Times New Roman"/>
              </w:rPr>
            </w:pPr>
            <w:r w:rsidRPr="00C90441">
              <w:rPr>
                <w:rFonts w:ascii="Times New Roman" w:hAnsi="Times New Roman"/>
              </w:rPr>
              <w:t>273</w:t>
            </w:r>
          </w:p>
        </w:tc>
      </w:tr>
      <w:tr w:rsidR="002B4127" w:rsidTr="001034B1">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Pr="00C90441" w:rsidRDefault="002B4127" w:rsidP="001034B1">
            <w:pPr>
              <w:pStyle w:val="TAC"/>
              <w:rPr>
                <w:rFonts w:ascii="Times New Roman" w:hAnsi="Times New Roman"/>
              </w:rPr>
            </w:pPr>
            <w:r w:rsidRPr="00C90441">
              <w:rPr>
                <w:rFonts w:ascii="Times New Roman" w:hAnsi="Times New Roman"/>
              </w:rPr>
              <w:t>60</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Pr="00C90441" w:rsidRDefault="002B4127" w:rsidP="001034B1">
            <w:pPr>
              <w:pStyle w:val="TAC"/>
              <w:rPr>
                <w:rFonts w:ascii="Times New Roman" w:hAnsi="Times New Roman"/>
              </w:rPr>
            </w:pPr>
            <w:r w:rsidRPr="00C90441">
              <w:rPr>
                <w:rFonts w:ascii="Times New Roman" w:hAnsi="Times New Roman"/>
              </w:rPr>
              <w:t>N/A</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Pr="00C90441" w:rsidRDefault="002B4127" w:rsidP="001034B1">
            <w:pPr>
              <w:pStyle w:val="TAC"/>
              <w:rPr>
                <w:rFonts w:ascii="Times New Roman" w:hAnsi="Times New Roman"/>
              </w:rPr>
            </w:pPr>
            <w:r w:rsidRPr="00C90441">
              <w:rPr>
                <w:rFonts w:ascii="Times New Roman" w:hAnsi="Times New Roman"/>
              </w:rPr>
              <w:t>11</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Pr="00C90441" w:rsidRDefault="002B4127" w:rsidP="001034B1">
            <w:pPr>
              <w:pStyle w:val="TAC"/>
              <w:rPr>
                <w:rFonts w:ascii="Times New Roman" w:hAnsi="Times New Roman"/>
              </w:rPr>
            </w:pPr>
            <w:r w:rsidRPr="00C90441">
              <w:rPr>
                <w:rFonts w:ascii="Times New Roman" w:hAnsi="Times New Roman"/>
              </w:rPr>
              <w:t>18</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Pr="00C90441" w:rsidRDefault="002B4127" w:rsidP="001034B1">
            <w:pPr>
              <w:pStyle w:val="TAC"/>
              <w:rPr>
                <w:rFonts w:ascii="Times New Roman" w:hAnsi="Times New Roman"/>
              </w:rPr>
            </w:pPr>
            <w:r w:rsidRPr="00C90441">
              <w:rPr>
                <w:rFonts w:ascii="Times New Roman" w:hAnsi="Times New Roman"/>
              </w:rPr>
              <w:t>24</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Pr="00C90441" w:rsidRDefault="002B4127" w:rsidP="001034B1">
            <w:pPr>
              <w:pStyle w:val="TAC"/>
              <w:rPr>
                <w:rFonts w:ascii="Times New Roman" w:hAnsi="Times New Roman"/>
              </w:rPr>
            </w:pPr>
            <w:r w:rsidRPr="00C90441">
              <w:rPr>
                <w:rFonts w:ascii="Times New Roman" w:hAnsi="Times New Roman"/>
              </w:rPr>
              <w:t>31</w:t>
            </w:r>
          </w:p>
        </w:tc>
        <w:tc>
          <w:tcPr>
            <w:tcW w:w="424" w:type="pct"/>
            <w:tcBorders>
              <w:top w:val="single" w:sz="4" w:space="0" w:color="auto"/>
              <w:left w:val="single" w:sz="4" w:space="0" w:color="auto"/>
              <w:bottom w:val="single" w:sz="4" w:space="0" w:color="auto"/>
              <w:right w:val="single" w:sz="4" w:space="0" w:color="auto"/>
            </w:tcBorders>
            <w:vAlign w:val="center"/>
          </w:tcPr>
          <w:p w:rsidR="002B4127" w:rsidRPr="00C90441" w:rsidRDefault="002B4127" w:rsidP="001034B1">
            <w:pPr>
              <w:pStyle w:val="TAC"/>
              <w:rPr>
                <w:rFonts w:ascii="Times New Roman" w:hAnsi="Times New Roman"/>
              </w:rPr>
            </w:pPr>
            <w:r>
              <w:rPr>
                <w:rFonts w:ascii="Times New Roman" w:hAnsi="Times New Roman"/>
              </w:rPr>
              <w:t>[38]</w:t>
            </w:r>
          </w:p>
        </w:tc>
        <w:tc>
          <w:tcPr>
            <w:tcW w:w="4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Pr="00C90441" w:rsidRDefault="002B4127" w:rsidP="001034B1">
            <w:pPr>
              <w:pStyle w:val="TAC"/>
              <w:rPr>
                <w:rFonts w:ascii="Times New Roman" w:hAnsi="Times New Roman"/>
              </w:rPr>
            </w:pPr>
            <w:r w:rsidRPr="00C90441">
              <w:rPr>
                <w:rFonts w:ascii="Times New Roman" w:hAnsi="Times New Roman"/>
              </w:rPr>
              <w:t>51</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Pr="00C90441" w:rsidRDefault="002B4127" w:rsidP="001034B1">
            <w:pPr>
              <w:pStyle w:val="TAC"/>
              <w:rPr>
                <w:rFonts w:ascii="Times New Roman" w:hAnsi="Times New Roman"/>
              </w:rPr>
            </w:pPr>
            <w:r w:rsidRPr="00C90441">
              <w:rPr>
                <w:rFonts w:ascii="Times New Roman" w:hAnsi="Times New Roman"/>
              </w:rPr>
              <w:t>65</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Pr="00C90441" w:rsidRDefault="002B4127" w:rsidP="001034B1">
            <w:pPr>
              <w:pStyle w:val="TAC"/>
              <w:rPr>
                <w:rFonts w:ascii="Times New Roman" w:hAnsi="Times New Roman"/>
              </w:rPr>
            </w:pPr>
            <w:r w:rsidRPr="00C90441">
              <w:rPr>
                <w:rFonts w:ascii="Times New Roman" w:hAnsi="Times New Roman"/>
              </w:rPr>
              <w:t>79</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Pr="00C90441" w:rsidRDefault="002B4127" w:rsidP="001034B1">
            <w:pPr>
              <w:pStyle w:val="TAC"/>
              <w:rPr>
                <w:rFonts w:ascii="Times New Roman" w:hAnsi="Times New Roman"/>
              </w:rPr>
            </w:pPr>
            <w:r w:rsidRPr="00C90441">
              <w:rPr>
                <w:rFonts w:ascii="Times New Roman" w:hAnsi="Times New Roman"/>
              </w:rPr>
              <w:t>107</w:t>
            </w:r>
          </w:p>
        </w:tc>
        <w:tc>
          <w:tcPr>
            <w:tcW w:w="42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2B4127" w:rsidRPr="00C90441" w:rsidRDefault="002B4127" w:rsidP="001034B1">
            <w:pPr>
              <w:pStyle w:val="TAC"/>
              <w:rPr>
                <w:rFonts w:ascii="Times New Roman" w:hAnsi="Times New Roman"/>
              </w:rPr>
            </w:pPr>
            <w:r w:rsidRPr="00C90441">
              <w:rPr>
                <w:rFonts w:ascii="Times New Roman" w:hAnsi="Times New Roman"/>
              </w:rPr>
              <w:t>135</w:t>
            </w:r>
          </w:p>
        </w:tc>
      </w:tr>
    </w:tbl>
    <w:p w:rsidR="002B4127" w:rsidRDefault="002B4127" w:rsidP="002B4127">
      <w:pPr>
        <w:rPr>
          <w:rFonts w:ascii="Times" w:eastAsia="Yu Mincho" w:hAnsi="Times"/>
          <w:lang w:val="en-GB"/>
        </w:rPr>
      </w:pPr>
    </w:p>
    <w:p w:rsidR="002969B3" w:rsidRDefault="002B4127" w:rsidP="002969B3">
      <w:pPr>
        <w:pStyle w:val="TH"/>
        <w:rPr>
          <w:rFonts w:eastAsia="Yu Mincho"/>
          <w:lang w:eastAsia="zh-CN"/>
        </w:rPr>
      </w:pPr>
      <w:r>
        <w:t xml:space="preserve">Table </w:t>
      </w:r>
      <w:r>
        <w:fldChar w:fldCharType="begin"/>
      </w:r>
      <w:r>
        <w:instrText xml:space="preserve"> SEQ Table \* ARABIC </w:instrText>
      </w:r>
      <w:r>
        <w:fldChar w:fldCharType="separate"/>
      </w:r>
      <w:r>
        <w:rPr>
          <w:noProof/>
        </w:rPr>
        <w:t>4</w:t>
      </w:r>
      <w:r>
        <w:fldChar w:fldCharType="end"/>
      </w:r>
      <w:r w:rsidR="002969B3">
        <w:rPr>
          <w:rFonts w:eastAsia="Yu Mincho"/>
        </w:rPr>
        <w:t>: Maximum transmission bandwidth configuration N</w:t>
      </w:r>
      <w:r w:rsidR="002969B3">
        <w:rPr>
          <w:rFonts w:eastAsia="Yu Mincho"/>
          <w:vertAlign w:val="subscript"/>
        </w:rPr>
        <w:t>RB</w:t>
      </w:r>
      <w:r w:rsidR="002969B3">
        <w:rPr>
          <w:rFonts w:eastAsia="Yu Mincho"/>
        </w:rPr>
        <w:t xml:space="preserve"> in FR2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2B4127" w:rsidTr="001034B1">
        <w:trPr>
          <w:jc w:val="center"/>
        </w:trPr>
        <w:tc>
          <w:tcPr>
            <w:tcW w:w="1060" w:type="dxa"/>
            <w:vMerge w:val="restar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2B4127" w:rsidRDefault="002B4127" w:rsidP="001034B1">
            <w:pPr>
              <w:pStyle w:val="TAH"/>
              <w:rPr>
                <w:rFonts w:eastAsia="Yu Mincho"/>
              </w:rPr>
            </w:pPr>
            <w:r>
              <w:rPr>
                <w:rFonts w:eastAsia="Yu Mincho"/>
              </w:rPr>
              <w:t>SCS (kHz)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2B4127" w:rsidRDefault="002B4127" w:rsidP="001034B1">
            <w:pPr>
              <w:pStyle w:val="TAH"/>
              <w:rPr>
                <w:rFonts w:eastAsia="Yu Mincho"/>
              </w:rPr>
            </w:pPr>
            <w:r>
              <w:rPr>
                <w:rFonts w:eastAsia="Yu Mincho"/>
              </w:rPr>
              <w:t>50MHz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2B4127" w:rsidRDefault="002B4127" w:rsidP="001034B1">
            <w:pPr>
              <w:pStyle w:val="TAH"/>
              <w:rPr>
                <w:rFonts w:eastAsia="Yu Mincho"/>
              </w:rPr>
            </w:pPr>
            <w:r>
              <w:rPr>
                <w:rFonts w:eastAsia="Yu Mincho"/>
              </w:rPr>
              <w:t>100MHz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2B4127" w:rsidRDefault="002B4127" w:rsidP="001034B1">
            <w:pPr>
              <w:pStyle w:val="TAH"/>
              <w:rPr>
                <w:rFonts w:eastAsia="Yu Mincho"/>
              </w:rPr>
            </w:pPr>
            <w:r>
              <w:rPr>
                <w:rFonts w:eastAsia="Yu Mincho"/>
              </w:rPr>
              <w:t>200MHz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2B4127" w:rsidRDefault="002B4127" w:rsidP="001034B1">
            <w:pPr>
              <w:pStyle w:val="TAH"/>
              <w:rPr>
                <w:rFonts w:eastAsia="Yu Mincho"/>
              </w:rPr>
            </w:pPr>
            <w:r>
              <w:rPr>
                <w:rFonts w:eastAsia="Yu Mincho"/>
              </w:rPr>
              <w:t>400 MHz</w:t>
            </w:r>
          </w:p>
        </w:tc>
      </w:tr>
      <w:tr w:rsidR="002B4127" w:rsidTr="001034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B4127" w:rsidRDefault="002B4127" w:rsidP="001034B1">
            <w:pPr>
              <w:rPr>
                <w:rFonts w:ascii="Arial" w:eastAsia="Yu Mincho" w:hAnsi="Arial"/>
                <w:b/>
                <w:sz w:val="18"/>
                <w:szCs w:val="20"/>
                <w:lang w:val="en-GB" w:eastAsia="en-GB"/>
              </w:rPr>
            </w:pP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2B4127" w:rsidRDefault="002B4127" w:rsidP="001034B1">
            <w:pPr>
              <w:pStyle w:val="TAH"/>
              <w:rPr>
                <w:rFonts w:eastAsia="Yu Mincho"/>
              </w:rPr>
            </w:pPr>
            <w:r>
              <w:rPr>
                <w:rFonts w:eastAsia="Yu Mincho"/>
              </w:rPr>
              <w:t>N</w:t>
            </w:r>
            <w:r>
              <w:rPr>
                <w:rFonts w:eastAsia="Yu Mincho"/>
                <w:vertAlign w:val="subscript"/>
              </w:rPr>
              <w:t>RB</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2B4127" w:rsidRDefault="002B4127" w:rsidP="001034B1">
            <w:pPr>
              <w:pStyle w:val="TAH"/>
              <w:rPr>
                <w:rFonts w:eastAsia="Yu Mincho"/>
              </w:rPr>
            </w:pPr>
            <w:r>
              <w:rPr>
                <w:rFonts w:eastAsia="Yu Mincho"/>
              </w:rPr>
              <w:t>N</w:t>
            </w:r>
            <w:r>
              <w:rPr>
                <w:rFonts w:eastAsia="Yu Mincho"/>
                <w:vertAlign w:val="subscript"/>
              </w:rPr>
              <w:t>RB</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2B4127" w:rsidRDefault="002B4127" w:rsidP="001034B1">
            <w:pPr>
              <w:pStyle w:val="TAH"/>
              <w:rPr>
                <w:rFonts w:eastAsia="Yu Mincho"/>
              </w:rPr>
            </w:pPr>
            <w:r>
              <w:rPr>
                <w:rFonts w:eastAsia="Yu Mincho"/>
              </w:rPr>
              <w:t>N</w:t>
            </w:r>
            <w:r>
              <w:rPr>
                <w:rFonts w:eastAsia="Yu Mincho"/>
                <w:vertAlign w:val="subscript"/>
              </w:rPr>
              <w:t>RB</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2B4127" w:rsidRDefault="002B4127" w:rsidP="001034B1">
            <w:pPr>
              <w:pStyle w:val="TAH"/>
              <w:rPr>
                <w:rFonts w:eastAsia="Yu Mincho"/>
              </w:rPr>
            </w:pPr>
            <w:r>
              <w:rPr>
                <w:rFonts w:eastAsia="Yu Mincho"/>
              </w:rPr>
              <w:t>N</w:t>
            </w:r>
            <w:r>
              <w:rPr>
                <w:rFonts w:eastAsia="Yu Mincho"/>
                <w:vertAlign w:val="subscript"/>
              </w:rPr>
              <w:t>RB</w:t>
            </w:r>
          </w:p>
        </w:tc>
      </w:tr>
      <w:tr w:rsidR="002B4127" w:rsidTr="001034B1">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2B4127" w:rsidRPr="00C90441" w:rsidRDefault="002B4127" w:rsidP="001034B1">
            <w:pPr>
              <w:pStyle w:val="TAC"/>
              <w:rPr>
                <w:rFonts w:ascii="Times New Roman" w:eastAsia="Yu Mincho" w:hAnsi="Times New Roman"/>
              </w:rPr>
            </w:pPr>
            <w:r w:rsidRPr="00C90441">
              <w:rPr>
                <w:rFonts w:ascii="Times New Roman" w:eastAsia="Yu Mincho" w:hAnsi="Times New Roman"/>
              </w:rPr>
              <w:t>60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2B4127" w:rsidRPr="00C90441" w:rsidRDefault="002B4127" w:rsidP="001034B1">
            <w:pPr>
              <w:pStyle w:val="TAC"/>
              <w:rPr>
                <w:rFonts w:ascii="Times New Roman" w:eastAsia="Yu Mincho" w:hAnsi="Times New Roman"/>
              </w:rPr>
            </w:pPr>
            <w:r w:rsidRPr="00C90441">
              <w:rPr>
                <w:rFonts w:ascii="Times New Roman" w:eastAsia="Yu Mincho" w:hAnsi="Times New Roman"/>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2B4127" w:rsidRPr="00C90441" w:rsidRDefault="002B4127" w:rsidP="001034B1">
            <w:pPr>
              <w:pStyle w:val="TAC"/>
              <w:rPr>
                <w:rFonts w:ascii="Times New Roman" w:eastAsia="Yu Mincho" w:hAnsi="Times New Roman"/>
              </w:rPr>
            </w:pPr>
            <w:r w:rsidRPr="00C90441">
              <w:rPr>
                <w:rFonts w:ascii="Times New Roman" w:eastAsia="Yu Mincho" w:hAnsi="Times New Roman"/>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2B4127" w:rsidRPr="00C90441" w:rsidRDefault="002B4127" w:rsidP="001034B1">
            <w:pPr>
              <w:pStyle w:val="TAC"/>
              <w:rPr>
                <w:rFonts w:ascii="Times New Roman" w:eastAsia="Yu Mincho" w:hAnsi="Times New Roman"/>
              </w:rPr>
            </w:pPr>
            <w:r w:rsidRPr="00C90441">
              <w:rPr>
                <w:rFonts w:ascii="Times New Roman" w:eastAsia="Yu Mincho" w:hAnsi="Times New Roman"/>
              </w:rPr>
              <w:t>264</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2B4127" w:rsidRPr="00C90441" w:rsidRDefault="002B4127" w:rsidP="001034B1">
            <w:pPr>
              <w:pStyle w:val="TAC"/>
              <w:rPr>
                <w:rFonts w:ascii="Times New Roman" w:eastAsia="Yu Mincho" w:hAnsi="Times New Roman"/>
              </w:rPr>
            </w:pPr>
            <w:r w:rsidRPr="00C90441">
              <w:rPr>
                <w:rFonts w:ascii="Times New Roman" w:eastAsia="Yu Mincho" w:hAnsi="Times New Roman"/>
              </w:rPr>
              <w:t>N</w:t>
            </w:r>
            <w:r>
              <w:rPr>
                <w:rFonts w:ascii="Times New Roman" w:eastAsia="Yu Mincho" w:hAnsi="Times New Roman"/>
              </w:rPr>
              <w:t>/</w:t>
            </w:r>
            <w:r w:rsidRPr="00C90441">
              <w:rPr>
                <w:rFonts w:ascii="Times New Roman" w:eastAsia="Yu Mincho" w:hAnsi="Times New Roman"/>
              </w:rPr>
              <w:t>A</w:t>
            </w:r>
          </w:p>
        </w:tc>
      </w:tr>
      <w:tr w:rsidR="002B4127" w:rsidTr="001034B1">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2B4127" w:rsidRPr="00C90441" w:rsidRDefault="002B4127" w:rsidP="001034B1">
            <w:pPr>
              <w:pStyle w:val="TAC"/>
              <w:rPr>
                <w:rFonts w:ascii="Times New Roman" w:eastAsia="Yu Mincho" w:hAnsi="Times New Roman"/>
              </w:rPr>
            </w:pPr>
            <w:r w:rsidRPr="00C90441">
              <w:rPr>
                <w:rFonts w:ascii="Times New Roman" w:eastAsia="Yu Mincho" w:hAnsi="Times New Roman"/>
              </w:rPr>
              <w:t>120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2B4127" w:rsidRPr="00C90441" w:rsidRDefault="002B4127" w:rsidP="001034B1">
            <w:pPr>
              <w:pStyle w:val="TAC"/>
              <w:rPr>
                <w:rFonts w:ascii="Times New Roman" w:eastAsia="Yu Mincho" w:hAnsi="Times New Roman"/>
              </w:rPr>
            </w:pPr>
            <w:r w:rsidRPr="00C90441">
              <w:rPr>
                <w:rFonts w:ascii="Times New Roman" w:eastAsia="Yu Mincho" w:hAnsi="Times New Roman"/>
              </w:rPr>
              <w:t>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2B4127" w:rsidRPr="00C90441" w:rsidRDefault="002B4127" w:rsidP="001034B1">
            <w:pPr>
              <w:pStyle w:val="TAC"/>
              <w:rPr>
                <w:rFonts w:ascii="Times New Roman" w:eastAsia="Yu Mincho" w:hAnsi="Times New Roman"/>
              </w:rPr>
            </w:pPr>
            <w:r w:rsidRPr="00C90441">
              <w:rPr>
                <w:rFonts w:ascii="Times New Roman" w:eastAsia="Yu Mincho" w:hAnsi="Times New Roman"/>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2B4127" w:rsidRPr="00C90441" w:rsidRDefault="002B4127" w:rsidP="001034B1">
            <w:pPr>
              <w:pStyle w:val="TAC"/>
              <w:rPr>
                <w:rFonts w:ascii="Times New Roman" w:eastAsia="Yu Mincho" w:hAnsi="Times New Roman"/>
              </w:rPr>
            </w:pPr>
            <w:r w:rsidRPr="00C90441">
              <w:rPr>
                <w:rFonts w:ascii="Times New Roman" w:eastAsia="Yu Mincho" w:hAnsi="Times New Roman"/>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rsidR="002B4127" w:rsidRPr="00C90441" w:rsidRDefault="002B4127" w:rsidP="001034B1">
            <w:pPr>
              <w:pStyle w:val="TAC"/>
              <w:rPr>
                <w:rFonts w:ascii="Times New Roman" w:eastAsia="Yu Mincho" w:hAnsi="Times New Roman"/>
              </w:rPr>
            </w:pPr>
            <w:r w:rsidRPr="00C90441">
              <w:rPr>
                <w:rFonts w:ascii="Times New Roman" w:eastAsia="Yu Mincho" w:hAnsi="Times New Roman"/>
              </w:rPr>
              <w:t>264</w:t>
            </w:r>
          </w:p>
        </w:tc>
      </w:tr>
    </w:tbl>
    <w:p w:rsidR="002B4127" w:rsidRDefault="002B4127" w:rsidP="002B4127">
      <w:pPr>
        <w:jc w:val="both"/>
        <w:rPr>
          <w:lang w:val="en-GB"/>
        </w:rPr>
      </w:pPr>
    </w:p>
    <w:p w:rsidR="002B4127" w:rsidRDefault="002B4127" w:rsidP="002B4127">
      <w:pPr>
        <w:spacing w:before="240"/>
        <w:rPr>
          <w:lang w:val="en-GB"/>
        </w:rPr>
      </w:pPr>
      <w:r>
        <w:rPr>
          <w:lang w:val="en-GB"/>
        </w:rPr>
        <w:t>The evaluation of peak data rate and peak spectral efficiency for NR is based on supported frequency range, sub-carrier spacing and transmission bandwidth configuration presented in this section.</w:t>
      </w:r>
    </w:p>
    <w:p w:rsidR="002B4127" w:rsidRPr="002B4127" w:rsidRDefault="002B4127" w:rsidP="002B4127">
      <w:pPr>
        <w:rPr>
          <w:lang w:val="en-GB" w:eastAsia="x-none"/>
        </w:rPr>
      </w:pPr>
    </w:p>
    <w:p w:rsidR="00FA1514" w:rsidRPr="00FA1514" w:rsidRDefault="00FA1514" w:rsidP="00FA1514">
      <w:pPr>
        <w:pStyle w:val="Heading3"/>
        <w:ind w:left="0" w:firstLine="0"/>
      </w:pPr>
      <w:r>
        <w:t>Peak Data Rate Evaluation</w:t>
      </w:r>
    </w:p>
    <w:p w:rsidR="00E026EC" w:rsidRDefault="00E026EC" w:rsidP="00E026EC">
      <w:pPr>
        <w:spacing w:before="240"/>
        <w:rPr>
          <w:lang w:val="en-GB" w:eastAsia="x-none"/>
        </w:rPr>
      </w:pPr>
      <w:r>
        <w:rPr>
          <w:lang w:val="en-GB" w:eastAsia="x-none"/>
        </w:rPr>
        <w:t xml:space="preserve">A formula to calculate the peak data rate with which a UE is expected to be scheduled in NR has been specified in </w:t>
      </w:r>
      <w:r>
        <w:rPr>
          <w:lang w:val="en-GB" w:eastAsia="x-none"/>
        </w:rPr>
        <w:fldChar w:fldCharType="begin"/>
      </w:r>
      <w:r>
        <w:rPr>
          <w:lang w:val="en-GB" w:eastAsia="x-none"/>
        </w:rPr>
        <w:instrText xml:space="preserve"> REF _Ref520884239 \r \h </w:instrText>
      </w:r>
      <w:r>
        <w:rPr>
          <w:lang w:val="en-GB" w:eastAsia="x-none"/>
        </w:rPr>
      </w:r>
      <w:r>
        <w:rPr>
          <w:lang w:val="en-GB" w:eastAsia="x-none"/>
        </w:rPr>
        <w:fldChar w:fldCharType="separate"/>
      </w:r>
      <w:r>
        <w:rPr>
          <w:lang w:val="en-GB" w:eastAsia="x-none"/>
        </w:rPr>
        <w:t>[7]</w:t>
      </w:r>
      <w:r>
        <w:rPr>
          <w:lang w:val="en-GB" w:eastAsia="x-none"/>
        </w:rPr>
        <w:fldChar w:fldCharType="end"/>
      </w:r>
      <w:r>
        <w:rPr>
          <w:lang w:val="en-GB" w:eastAsia="x-none"/>
        </w:rPr>
        <w:t xml:space="preserve">. In this paper, we adopt the same methodology for the analytical calculation of peak data rate for NR. The specified formula for peak data rate is as follows: </w:t>
      </w:r>
    </w:p>
    <w:p w:rsidR="00E026EC" w:rsidRDefault="00E026EC" w:rsidP="00E026EC">
      <w:pPr>
        <w:spacing w:before="240"/>
        <w:jc w:val="center"/>
      </w:pPr>
      <w:r w:rsidRPr="00390296">
        <w:rPr>
          <w:position w:val="-32"/>
        </w:rPr>
        <w:object w:dxaOrig="720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5pt;height:34.5pt" o:ole="">
            <v:imagedata r:id="rId9" o:title=""/>
          </v:shape>
          <o:OLEObject Type="Embed" ProgID="Equation.DSMT4" ShapeID="_x0000_i1025" DrawAspect="Content" ObjectID="_1595458011" r:id="rId10"/>
        </w:object>
      </w:r>
      <w:r>
        <w:t>.</w:t>
      </w:r>
    </w:p>
    <w:p w:rsidR="00E026EC" w:rsidRPr="004332F5" w:rsidRDefault="00E026EC" w:rsidP="00E026EC">
      <w:r>
        <w:t>The terms in the formula are defined as follows:</w:t>
      </w:r>
    </w:p>
    <w:p w:rsidR="00E026EC" w:rsidRPr="00390296" w:rsidRDefault="00E026EC" w:rsidP="00E026EC">
      <w:pPr>
        <w:numPr>
          <w:ilvl w:val="0"/>
          <w:numId w:val="6"/>
        </w:numPr>
      </w:pPr>
      <w:r w:rsidRPr="00390296">
        <w:rPr>
          <w:i/>
        </w:rPr>
        <w:t>J</w:t>
      </w:r>
      <w:r w:rsidRPr="00390296">
        <w:t xml:space="preserve"> is the number of aggregated component carriers in a band or band combination</w:t>
      </w:r>
    </w:p>
    <w:p w:rsidR="00E026EC" w:rsidRPr="00390296" w:rsidRDefault="00E026EC" w:rsidP="00E026EC">
      <w:pPr>
        <w:numPr>
          <w:ilvl w:val="0"/>
          <w:numId w:val="6"/>
        </w:numPr>
      </w:pPr>
      <w:r w:rsidRPr="00390296">
        <w:rPr>
          <w:i/>
        </w:rPr>
        <w:t>R</w:t>
      </w:r>
      <w:r w:rsidRPr="00390296">
        <w:rPr>
          <w:i/>
          <w:vertAlign w:val="subscript"/>
        </w:rPr>
        <w:t>max</w:t>
      </w:r>
      <w:r w:rsidRPr="00390296">
        <w:t xml:space="preserve"> = 948/1024</w:t>
      </w:r>
      <w:r>
        <w:t xml:space="preserve"> is the nominal code rate</w:t>
      </w:r>
    </w:p>
    <w:p w:rsidR="00E026EC" w:rsidRPr="00390296" w:rsidRDefault="00E026EC" w:rsidP="00E026EC">
      <w:pPr>
        <w:numPr>
          <w:ilvl w:val="0"/>
          <w:numId w:val="6"/>
        </w:numPr>
      </w:pPr>
      <w:r w:rsidRPr="00390296">
        <w:t xml:space="preserve">For the </w:t>
      </w:r>
      <w:r w:rsidRPr="00390296">
        <w:rPr>
          <w:i/>
        </w:rPr>
        <w:t>j</w:t>
      </w:r>
      <w:r w:rsidRPr="00390296">
        <w:t>-th CC,</w:t>
      </w:r>
    </w:p>
    <w:p w:rsidR="00E026EC" w:rsidRPr="00390296" w:rsidRDefault="00E026EC" w:rsidP="00E026EC">
      <w:pPr>
        <w:numPr>
          <w:ilvl w:val="1"/>
          <w:numId w:val="6"/>
        </w:numPr>
      </w:pPr>
      <w:r w:rsidRPr="00390296">
        <w:object w:dxaOrig="480" w:dyaOrig="400">
          <v:shape id="_x0000_i1026" type="#_x0000_t75" style="width:24.5pt;height:20pt" o:ole="">
            <v:imagedata r:id="rId11" o:title=""/>
          </v:shape>
          <o:OLEObject Type="Embed" ProgID="Equation.3" ShapeID="_x0000_i1026" DrawAspect="Content" ObjectID="_1595458012" r:id="rId12"/>
        </w:object>
      </w:r>
      <w:r w:rsidRPr="00390296">
        <w:t xml:space="preserve"> is the maximum number of layers </w:t>
      </w:r>
    </w:p>
    <w:p w:rsidR="00E026EC" w:rsidRPr="00390296" w:rsidRDefault="00E026EC" w:rsidP="00E026EC">
      <w:pPr>
        <w:numPr>
          <w:ilvl w:val="1"/>
          <w:numId w:val="6"/>
        </w:numPr>
      </w:pPr>
      <w:r w:rsidRPr="00390296">
        <w:object w:dxaOrig="400" w:dyaOrig="340">
          <v:shape id="_x0000_i1027" type="#_x0000_t75" style="width:20pt;height:17pt" o:ole="">
            <v:imagedata r:id="rId13" o:title=""/>
          </v:shape>
          <o:OLEObject Type="Embed" ProgID="Equation.3" ShapeID="_x0000_i1027" DrawAspect="Content" ObjectID="_1595458013" r:id="rId14"/>
        </w:object>
      </w:r>
      <w:r w:rsidRPr="00390296">
        <w:t xml:space="preserve"> is the maximum modulation order</w:t>
      </w:r>
    </w:p>
    <w:p w:rsidR="00E026EC" w:rsidRPr="00390296" w:rsidRDefault="00E026EC" w:rsidP="00E026EC">
      <w:pPr>
        <w:numPr>
          <w:ilvl w:val="1"/>
          <w:numId w:val="6"/>
        </w:numPr>
      </w:pPr>
      <w:r w:rsidRPr="00390296">
        <w:rPr>
          <w:position w:val="-10"/>
        </w:rPr>
        <w:object w:dxaOrig="440" w:dyaOrig="360">
          <v:shape id="_x0000_i1028" type="#_x0000_t75" style="width:21.5pt;height:19pt" o:ole="">
            <v:imagedata r:id="rId15" o:title=""/>
          </v:shape>
          <o:OLEObject Type="Embed" ProgID="Equation.DSMT4" ShapeID="_x0000_i1028" DrawAspect="Content" ObjectID="_1595458014" r:id="rId16"/>
        </w:object>
      </w:r>
      <w:r w:rsidRPr="00390296">
        <w:t xml:space="preserve">is the scaling factor </w:t>
      </w:r>
    </w:p>
    <w:p w:rsidR="00E026EC" w:rsidRPr="00390296" w:rsidRDefault="00E026EC" w:rsidP="00E026EC">
      <w:pPr>
        <w:numPr>
          <w:ilvl w:val="2"/>
          <w:numId w:val="7"/>
        </w:numPr>
      </w:pPr>
      <w:r w:rsidRPr="00390296">
        <w:t xml:space="preserve">The scaling factor can at least take the values 1 and 0.75. </w:t>
      </w:r>
    </w:p>
    <w:p w:rsidR="00E026EC" w:rsidRPr="00390296" w:rsidRDefault="00E026EC" w:rsidP="00E026EC">
      <w:pPr>
        <w:numPr>
          <w:ilvl w:val="2"/>
          <w:numId w:val="7"/>
        </w:numPr>
      </w:pPr>
      <w:r w:rsidRPr="00390296">
        <w:rPr>
          <w:position w:val="-10"/>
        </w:rPr>
        <w:object w:dxaOrig="440" w:dyaOrig="360">
          <v:shape id="_x0000_i1029" type="#_x0000_t75" style="width:21.5pt;height:19pt" o:ole="">
            <v:imagedata r:id="rId17" o:title=""/>
          </v:shape>
          <o:OLEObject Type="Embed" ProgID="Equation.DSMT4" ShapeID="_x0000_i1029" DrawAspect="Content" ObjectID="_1595458015" r:id="rId18"/>
        </w:object>
      </w:r>
      <w:r w:rsidRPr="00390296">
        <w:t>is signaled per band and per band per band combination as per UE capability signalling</w:t>
      </w:r>
    </w:p>
    <w:p w:rsidR="00E026EC" w:rsidRPr="00390296" w:rsidRDefault="00E026EC" w:rsidP="00E026EC">
      <w:pPr>
        <w:numPr>
          <w:ilvl w:val="1"/>
          <w:numId w:val="6"/>
        </w:numPr>
      </w:pPr>
      <w:r w:rsidRPr="00390296">
        <w:object w:dxaOrig="220" w:dyaOrig="240">
          <v:shape id="_x0000_i1030" type="#_x0000_t75" style="width:11pt;height:12.5pt" o:ole="">
            <v:imagedata r:id="rId19" o:title=""/>
          </v:shape>
          <o:OLEObject Type="Embed" ProgID="Equation.3" ShapeID="_x0000_i1030" DrawAspect="Content" ObjectID="_1595458016" r:id="rId20"/>
        </w:object>
      </w:r>
      <w:r w:rsidRPr="00390296">
        <w:t xml:space="preserve"> is the numerology (as defined in</w:t>
      </w:r>
      <w:r>
        <w:t xml:space="preserve"> </w:t>
      </w:r>
      <w:r>
        <w:fldChar w:fldCharType="begin"/>
      </w:r>
      <w:r>
        <w:instrText xml:space="preserve"> REF _Ref520884493 \r \h </w:instrText>
      </w:r>
      <w:r>
        <w:fldChar w:fldCharType="separate"/>
      </w:r>
      <w:r>
        <w:t>[9]</w:t>
      </w:r>
      <w:r>
        <w:fldChar w:fldCharType="end"/>
      </w:r>
      <w:r w:rsidRPr="00390296">
        <w:t>)</w:t>
      </w:r>
    </w:p>
    <w:p w:rsidR="00E026EC" w:rsidRPr="00390296" w:rsidRDefault="00E026EC" w:rsidP="00E026EC">
      <w:pPr>
        <w:numPr>
          <w:ilvl w:val="1"/>
          <w:numId w:val="6"/>
        </w:numPr>
      </w:pPr>
      <w:r w:rsidRPr="00265C80">
        <w:rPr>
          <w:position w:val="-12"/>
        </w:rPr>
        <w:object w:dxaOrig="320" w:dyaOrig="380">
          <v:shape id="_x0000_i1031" type="#_x0000_t75" style="width:16pt;height:19pt" o:ole="">
            <v:imagedata r:id="rId21" o:title=""/>
          </v:shape>
          <o:OLEObject Type="Embed" ProgID="Equation.DSMT4" ShapeID="_x0000_i1031" DrawAspect="Content" ObjectID="_1595458017" r:id="rId22"/>
        </w:object>
      </w:r>
      <w:r>
        <w:t xml:space="preserve"> </w:t>
      </w:r>
      <w:proofErr w:type="gramStart"/>
      <w:r w:rsidRPr="00390296">
        <w:t>is</w:t>
      </w:r>
      <w:proofErr w:type="gramEnd"/>
      <w:r w:rsidRPr="00390296">
        <w:t xml:space="preserve"> the average OFDM symbol duration in a subframe for numerology</w:t>
      </w:r>
      <w:r w:rsidRPr="00BB388E">
        <w:rPr>
          <w:position w:val="-10"/>
        </w:rPr>
        <w:object w:dxaOrig="240" w:dyaOrig="260">
          <v:shape id="_x0000_i1032" type="#_x0000_t75" style="width:12pt;height:13pt" o:ole="">
            <v:imagedata r:id="rId23" o:title=""/>
          </v:shape>
          <o:OLEObject Type="Embed" ProgID="Equation.DSMT4" ShapeID="_x0000_i1032" DrawAspect="Content" ObjectID="_1595458018" r:id="rId24"/>
        </w:object>
      </w:r>
      <w:r w:rsidRPr="00390296">
        <w:t>, i.e.</w:t>
      </w:r>
      <w:r>
        <w:t xml:space="preserve">, </w:t>
      </w:r>
      <w:r w:rsidRPr="00BB388E">
        <w:rPr>
          <w:position w:val="-24"/>
        </w:rPr>
        <w:object w:dxaOrig="1200" w:dyaOrig="660">
          <v:shape id="_x0000_i1033" type="#_x0000_t75" style="width:60pt;height:33.5pt" o:ole="">
            <v:imagedata r:id="rId25" o:title=""/>
          </v:shape>
          <o:OLEObject Type="Embed" ProgID="Equation.DSMT4" ShapeID="_x0000_i1033" DrawAspect="Content" ObjectID="_1595458019" r:id="rId26"/>
        </w:object>
      </w:r>
      <w:r>
        <w:t xml:space="preserve"> </w:t>
      </w:r>
      <w:r w:rsidRPr="00390296">
        <w:t xml:space="preserve"> Note that normal cyclic prefix is assumed.</w:t>
      </w:r>
    </w:p>
    <w:p w:rsidR="00E026EC" w:rsidRPr="00390296" w:rsidRDefault="00E026EC" w:rsidP="00E026EC">
      <w:pPr>
        <w:numPr>
          <w:ilvl w:val="1"/>
          <w:numId w:val="6"/>
        </w:numPr>
      </w:pPr>
      <w:r w:rsidRPr="00390296">
        <w:object w:dxaOrig="740" w:dyaOrig="340">
          <v:shape id="_x0000_i1034" type="#_x0000_t75" style="width:37.5pt;height:15.5pt" o:ole="">
            <v:imagedata r:id="rId27" o:title=""/>
          </v:shape>
          <o:OLEObject Type="Embed" ProgID="Equation.3" ShapeID="_x0000_i1034" DrawAspect="Content" ObjectID="_1595458020" r:id="rId28"/>
        </w:object>
      </w:r>
      <w:r w:rsidRPr="00390296">
        <w:t xml:space="preserve"> is the maximum RB allocation in bandwidth </w:t>
      </w:r>
      <w:r w:rsidRPr="00390296">
        <w:object w:dxaOrig="560" w:dyaOrig="300">
          <v:shape id="_x0000_i1035" type="#_x0000_t75" style="width:27.5pt;height:15.5pt" o:ole="">
            <v:imagedata r:id="rId29" o:title=""/>
          </v:shape>
          <o:OLEObject Type="Embed" ProgID="Equation.3" ShapeID="_x0000_i1035" DrawAspect="Content" ObjectID="_1595458021" r:id="rId30"/>
        </w:object>
      </w:r>
      <w:r w:rsidRPr="00390296">
        <w:t xml:space="preserve"> with numerology </w:t>
      </w:r>
      <w:r w:rsidRPr="00390296">
        <w:object w:dxaOrig="220" w:dyaOrig="240">
          <v:shape id="_x0000_i1036" type="#_x0000_t75" style="width:10.5pt;height:12pt" o:ole="">
            <v:imagedata r:id="rId19" o:title=""/>
          </v:shape>
          <o:OLEObject Type="Embed" ProgID="Equation.3" ShapeID="_x0000_i1036" DrawAspect="Content" ObjectID="_1595458022" r:id="rId31"/>
        </w:object>
      </w:r>
      <w:r w:rsidRPr="00390296">
        <w:t xml:space="preserve">, as given in TR 38.817-01 section 4.5.1 (to be eventually defined in TS 38.101), where </w:t>
      </w:r>
      <w:r w:rsidRPr="00390296">
        <w:object w:dxaOrig="560" w:dyaOrig="300">
          <v:shape id="_x0000_i1037" type="#_x0000_t75" style="width:27.5pt;height:15.5pt" o:ole="">
            <v:imagedata r:id="rId29" o:title=""/>
          </v:shape>
          <o:OLEObject Type="Embed" ProgID="Equation.3" ShapeID="_x0000_i1037" DrawAspect="Content" ObjectID="_1595458023" r:id="rId32"/>
        </w:object>
      </w:r>
      <w:r w:rsidRPr="00390296">
        <w:t xml:space="preserve"> is the UE supported maximum bandwidth in the given band or band combination</w:t>
      </w:r>
    </w:p>
    <w:p w:rsidR="00E026EC" w:rsidRDefault="00E026EC" w:rsidP="00E026EC">
      <w:pPr>
        <w:numPr>
          <w:ilvl w:val="1"/>
          <w:numId w:val="6"/>
        </w:numPr>
      </w:pPr>
      <w:r w:rsidRPr="00BB388E">
        <w:rPr>
          <w:position w:val="-6"/>
        </w:rPr>
        <w:object w:dxaOrig="639" w:dyaOrig="320">
          <v:shape id="_x0000_i1038" type="#_x0000_t75" style="width:31.5pt;height:15.5pt" o:ole="">
            <v:imagedata r:id="rId33" o:title=""/>
          </v:shape>
          <o:OLEObject Type="Embed" ProgID="Equation.DSMT4" ShapeID="_x0000_i1038" DrawAspect="Content" ObjectID="_1595458024" r:id="rId34"/>
        </w:object>
      </w:r>
      <w:r>
        <w:t xml:space="preserve"> </w:t>
      </w:r>
      <w:proofErr w:type="gramStart"/>
      <w:r>
        <w:t>is</w:t>
      </w:r>
      <w:proofErr w:type="gramEnd"/>
      <w:r>
        <w:t xml:space="preserve"> the overhead as defined in </w:t>
      </w:r>
      <w:r>
        <w:fldChar w:fldCharType="begin"/>
      </w:r>
      <w:r>
        <w:instrText xml:space="preserve"> REF _Ref520884239 \r \h </w:instrText>
      </w:r>
      <w:r>
        <w:fldChar w:fldCharType="separate"/>
      </w:r>
      <w:r>
        <w:t>[7]</w:t>
      </w:r>
      <w:r>
        <w:fldChar w:fldCharType="end"/>
      </w:r>
      <w:r>
        <w:t>.</w:t>
      </w:r>
    </w:p>
    <w:p w:rsidR="00E026EC" w:rsidRPr="00390296" w:rsidRDefault="00E026EC" w:rsidP="00E026EC">
      <w:pPr>
        <w:ind w:left="1719"/>
      </w:pPr>
    </w:p>
    <w:p w:rsidR="00E026EC" w:rsidRDefault="00E026EC" w:rsidP="00E026EC">
      <w:pPr>
        <w:jc w:val="both"/>
      </w:pPr>
      <w:r w:rsidRPr="00390296">
        <w:rPr>
          <w:lang w:val="en-GB"/>
        </w:rPr>
        <w:t>Using th</w:t>
      </w:r>
      <w:r>
        <w:rPr>
          <w:lang w:val="en-GB"/>
        </w:rPr>
        <w:t>e</w:t>
      </w:r>
      <w:r w:rsidRPr="00390296">
        <w:rPr>
          <w:lang w:val="en-GB"/>
        </w:rPr>
        <w:t xml:space="preserve"> </w:t>
      </w:r>
      <w:r>
        <w:rPr>
          <w:lang w:val="en-GB"/>
        </w:rPr>
        <w:t xml:space="preserve">above </w:t>
      </w:r>
      <w:r w:rsidRPr="00390296">
        <w:rPr>
          <w:lang w:val="en-GB"/>
        </w:rPr>
        <w:t>formula, the peak data rate for NR</w:t>
      </w:r>
      <w:r>
        <w:rPr>
          <w:lang w:val="en-GB"/>
        </w:rPr>
        <w:t xml:space="preserve"> can be calculated</w:t>
      </w:r>
      <w:r w:rsidRPr="00390296">
        <w:rPr>
          <w:lang w:val="en-GB"/>
        </w:rPr>
        <w:t>. The assumed scaling factor is 1 for highest modulation order of 8.</w:t>
      </w:r>
      <w:r>
        <w:rPr>
          <w:lang w:val="en-GB"/>
        </w:rPr>
        <w:t xml:space="preserve"> A maximum of 8 transmit layers for downlink and 4 transmit layers for uplink can be assumed. The values for </w:t>
      </w:r>
      <w:r w:rsidRPr="00390296">
        <w:rPr>
          <w:position w:val="-12"/>
        </w:rPr>
        <w:object w:dxaOrig="840" w:dyaOrig="380">
          <v:shape id="_x0000_i1039" type="#_x0000_t75" style="width:42pt;height:19pt" o:ole="">
            <v:imagedata r:id="rId35" o:title=""/>
          </v:shape>
          <o:OLEObject Type="Embed" ProgID="Equation.DSMT4" ShapeID="_x0000_i1039" DrawAspect="Content" ObjectID="_1595458025" r:id="rId36"/>
        </w:object>
      </w:r>
      <w:r>
        <w:t xml:space="preserve"> can be obtained from Tables </w:t>
      </w:r>
      <w:r w:rsidR="00C84511">
        <w:t xml:space="preserve">3 </w:t>
      </w:r>
      <w:r>
        <w:t xml:space="preserve">and </w:t>
      </w:r>
      <w:r w:rsidR="00C84511">
        <w:t>4</w:t>
      </w:r>
      <w:r>
        <w:t xml:space="preserve"> for FR1 and FR2 respectively.</w:t>
      </w:r>
    </w:p>
    <w:p w:rsidR="00E026EC" w:rsidRDefault="00E026EC" w:rsidP="00FA1514">
      <w:pPr>
        <w:pStyle w:val="Heading4"/>
        <w:ind w:left="0" w:firstLine="0"/>
      </w:pPr>
      <w:bookmarkStart w:id="2" w:name="_Ref520899191"/>
      <w:r>
        <w:t>Consideration for Peak Data Rate Evaluation for TDD</w:t>
      </w:r>
      <w:bookmarkEnd w:id="2"/>
    </w:p>
    <w:p w:rsidR="00E026EC" w:rsidRDefault="00E026EC" w:rsidP="00E026EC">
      <w:pPr>
        <w:spacing w:before="240"/>
        <w:jc w:val="both"/>
      </w:pPr>
      <w:r>
        <w:t xml:space="preserve">The peak data rate calculated using the formula presented in </w:t>
      </w:r>
      <w:r>
        <w:fldChar w:fldCharType="begin"/>
      </w:r>
      <w:r>
        <w:instrText xml:space="preserve"> REF _Ref520884239 \n \h </w:instrText>
      </w:r>
      <w:r>
        <w:fldChar w:fldCharType="separate"/>
      </w:r>
      <w:r>
        <w:t>[7]</w:t>
      </w:r>
      <w:r>
        <w:fldChar w:fldCharType="end"/>
      </w:r>
      <w:r>
        <w:t xml:space="preserve"> does not account for DL/UL occupancy ratio for the case of TDD operation. Therefore, in the case of TDD, for peak data rate evaluation, the data rate can be evaluated as follows</w:t>
      </w:r>
    </w:p>
    <w:p w:rsidR="00E026EC" w:rsidRDefault="00E026EC" w:rsidP="00E026EC">
      <w:pPr>
        <w:jc w:val="center"/>
      </w:pPr>
      <w:r w:rsidRPr="00390296">
        <w:rPr>
          <w:position w:val="-32"/>
        </w:rPr>
        <w:object w:dxaOrig="7760" w:dyaOrig="760">
          <v:shape id="_x0000_i1040" type="#_x0000_t75" style="width:374pt;height:35.5pt" o:ole="">
            <v:imagedata r:id="rId37" o:title=""/>
          </v:shape>
          <o:OLEObject Type="Embed" ProgID="Equation.DSMT4" ShapeID="_x0000_i1040" DrawAspect="Content" ObjectID="_1595458026" r:id="rId38"/>
        </w:object>
      </w:r>
      <w:r>
        <w:t>.</w:t>
      </w:r>
    </w:p>
    <w:p w:rsidR="00E026EC" w:rsidRDefault="00E026EC" w:rsidP="00E026EC">
      <w:r>
        <w:t xml:space="preserve">The additional scaling term </w:t>
      </w:r>
      <w:r w:rsidRPr="00A868BF">
        <w:rPr>
          <w:position w:val="-6"/>
        </w:rPr>
        <w:object w:dxaOrig="420" w:dyaOrig="320">
          <v:shape id="_x0000_i1041" type="#_x0000_t75" style="width:20.5pt;height:16pt" o:ole="">
            <v:imagedata r:id="rId39" o:title=""/>
          </v:shape>
          <o:OLEObject Type="Embed" ProgID="Equation.DSMT4" ShapeID="_x0000_i1041" DrawAspect="Content" ObjectID="_1595458027" r:id="rId40"/>
        </w:object>
      </w:r>
      <w:r>
        <w:t xml:space="preserve"> accounts for the DL/UL occupancy ratio for TDD and can be evaluated as follows</w:t>
      </w:r>
    </w:p>
    <w:p w:rsidR="00E026EC" w:rsidRDefault="00E026EC" w:rsidP="00E026EC"/>
    <w:p w:rsidR="00E026EC" w:rsidRDefault="00E026EC" w:rsidP="00E026EC">
      <w:pPr>
        <w:jc w:val="center"/>
      </w:pPr>
      <w:r w:rsidRPr="007A2008">
        <w:rPr>
          <w:position w:val="-28"/>
        </w:rPr>
        <w:object w:dxaOrig="5960" w:dyaOrig="660">
          <v:shape id="_x0000_i1042" type="#_x0000_t75" style="width:298.5pt;height:33.5pt" o:ole="">
            <v:imagedata r:id="rId41" o:title=""/>
          </v:shape>
          <o:OLEObject Type="Embed" ProgID="Equation.DSMT4" ShapeID="_x0000_i1042" DrawAspect="Content" ObjectID="_1595458028" r:id="rId42"/>
        </w:object>
      </w:r>
      <w:r>
        <w:t xml:space="preserve">. </w:t>
      </w:r>
    </w:p>
    <w:p w:rsidR="00E026EC" w:rsidRDefault="00E026EC" w:rsidP="00FA1514">
      <w:pPr>
        <w:pStyle w:val="Heading3"/>
        <w:ind w:left="0" w:firstLine="0"/>
      </w:pPr>
      <w:bookmarkStart w:id="3" w:name="_Ref520898023"/>
      <w:r>
        <w:t>Peak Spectral Efficiency</w:t>
      </w:r>
      <w:bookmarkEnd w:id="3"/>
      <w:r w:rsidR="00FA1514">
        <w:t xml:space="preserve"> Evaluation</w:t>
      </w:r>
    </w:p>
    <w:p w:rsidR="00E026EC" w:rsidRDefault="00E026EC" w:rsidP="00E026EC">
      <w:pPr>
        <w:rPr>
          <w:lang w:val="en-GB"/>
        </w:rPr>
      </w:pPr>
      <w:r>
        <w:rPr>
          <w:lang w:val="en-GB"/>
        </w:rPr>
        <w:t>For peak spectral efficiency, a similar approach as for the case of peak data rate can be used. The peak spectral efficiency for a single carrier (</w:t>
      </w:r>
      <w:r w:rsidRPr="003930DD">
        <w:rPr>
          <w:i/>
          <w:lang w:val="en-GB"/>
        </w:rPr>
        <w:t>j</w:t>
      </w:r>
      <w:r>
        <w:rPr>
          <w:lang w:val="en-GB"/>
        </w:rPr>
        <w:t>) can be defined as:</w:t>
      </w:r>
    </w:p>
    <w:p w:rsidR="00E026EC" w:rsidRDefault="00E026EC" w:rsidP="00E026EC">
      <w:pPr>
        <w:jc w:val="center"/>
      </w:pPr>
      <w:r w:rsidRPr="00A94D4E">
        <w:rPr>
          <w:position w:val="-24"/>
        </w:rPr>
        <w:object w:dxaOrig="6100" w:dyaOrig="980">
          <v:shape id="_x0000_i1043" type="#_x0000_t75" style="width:276pt;height:43.5pt" o:ole="">
            <v:imagedata r:id="rId43" o:title=""/>
          </v:shape>
          <o:OLEObject Type="Embed" ProgID="Equation.DSMT4" ShapeID="_x0000_i1043" DrawAspect="Content" ObjectID="_1595458029" r:id="rId44"/>
        </w:object>
      </w:r>
    </w:p>
    <w:p w:rsidR="00E026EC" w:rsidRPr="000A223F" w:rsidRDefault="00E026EC" w:rsidP="00E026EC">
      <w:pPr>
        <w:pStyle w:val="ListParagraph"/>
        <w:keepNext/>
        <w:widowControl w:val="0"/>
        <w:numPr>
          <w:ilvl w:val="0"/>
          <w:numId w:val="1"/>
        </w:numPr>
        <w:spacing w:before="240" w:after="60"/>
        <w:outlineLvl w:val="1"/>
        <w:rPr>
          <w:rFonts w:ascii="Arial" w:eastAsia="Batang" w:hAnsi="Arial"/>
          <w:bCs/>
          <w:iCs/>
          <w:vanish/>
          <w:sz w:val="24"/>
          <w:szCs w:val="28"/>
          <w:lang w:val="en-GB" w:eastAsia="x-none"/>
        </w:rPr>
      </w:pPr>
    </w:p>
    <w:p w:rsidR="00E026EC" w:rsidRPr="000A223F" w:rsidRDefault="00E026EC" w:rsidP="00E026EC">
      <w:pPr>
        <w:pStyle w:val="ListParagraph"/>
        <w:keepNext/>
        <w:widowControl w:val="0"/>
        <w:numPr>
          <w:ilvl w:val="0"/>
          <w:numId w:val="1"/>
        </w:numPr>
        <w:spacing w:before="240" w:after="60"/>
        <w:outlineLvl w:val="1"/>
        <w:rPr>
          <w:rFonts w:ascii="Arial" w:eastAsia="Batang" w:hAnsi="Arial"/>
          <w:bCs/>
          <w:iCs/>
          <w:vanish/>
          <w:sz w:val="24"/>
          <w:szCs w:val="28"/>
          <w:lang w:val="en-GB" w:eastAsia="x-none"/>
        </w:rPr>
      </w:pPr>
    </w:p>
    <w:p w:rsidR="00E026EC" w:rsidRPr="000A223F" w:rsidRDefault="00E026EC" w:rsidP="00E026EC">
      <w:pPr>
        <w:pStyle w:val="ListParagraph"/>
        <w:keepNext/>
        <w:widowControl w:val="0"/>
        <w:numPr>
          <w:ilvl w:val="1"/>
          <w:numId w:val="1"/>
        </w:numPr>
        <w:spacing w:before="240" w:after="60"/>
        <w:outlineLvl w:val="1"/>
        <w:rPr>
          <w:rFonts w:ascii="Arial" w:eastAsia="Batang" w:hAnsi="Arial"/>
          <w:bCs/>
          <w:iCs/>
          <w:vanish/>
          <w:sz w:val="24"/>
          <w:szCs w:val="28"/>
          <w:lang w:val="en-GB" w:eastAsia="x-none"/>
        </w:rPr>
      </w:pPr>
    </w:p>
    <w:p w:rsidR="00E026EC" w:rsidRPr="0011633D" w:rsidRDefault="00E026EC" w:rsidP="00E026EC">
      <w:pPr>
        <w:pStyle w:val="ListParagraph"/>
        <w:keepNext/>
        <w:widowControl w:val="0"/>
        <w:numPr>
          <w:ilvl w:val="1"/>
          <w:numId w:val="12"/>
        </w:numPr>
        <w:spacing w:before="240" w:after="60"/>
        <w:outlineLvl w:val="1"/>
        <w:rPr>
          <w:rFonts w:ascii="Arial" w:eastAsia="Batang" w:hAnsi="Arial"/>
          <w:bCs/>
          <w:iCs/>
          <w:vanish/>
          <w:sz w:val="24"/>
          <w:szCs w:val="28"/>
          <w:lang w:val="en-GB" w:eastAsia="x-none"/>
        </w:rPr>
      </w:pPr>
    </w:p>
    <w:p w:rsidR="00E026EC" w:rsidRPr="0011633D" w:rsidRDefault="00E026EC" w:rsidP="00E026EC">
      <w:pPr>
        <w:pStyle w:val="ListParagraph"/>
        <w:keepNext/>
        <w:widowControl w:val="0"/>
        <w:numPr>
          <w:ilvl w:val="1"/>
          <w:numId w:val="12"/>
        </w:numPr>
        <w:spacing w:before="240" w:after="60"/>
        <w:outlineLvl w:val="1"/>
        <w:rPr>
          <w:rFonts w:ascii="Arial" w:eastAsia="Batang" w:hAnsi="Arial"/>
          <w:bCs/>
          <w:iCs/>
          <w:vanish/>
          <w:sz w:val="24"/>
          <w:szCs w:val="28"/>
          <w:lang w:val="en-GB" w:eastAsia="x-none"/>
        </w:rPr>
      </w:pPr>
    </w:p>
    <w:p w:rsidR="00E026EC" w:rsidRDefault="00E026EC" w:rsidP="00FA1514">
      <w:pPr>
        <w:pStyle w:val="Heading3"/>
        <w:ind w:hanging="1080"/>
      </w:pPr>
      <w:bookmarkStart w:id="4" w:name="_Ref520898058"/>
      <w:r>
        <w:t>Overhead Assumptions</w:t>
      </w:r>
      <w:bookmarkEnd w:id="4"/>
    </w:p>
    <w:p w:rsidR="00E026EC" w:rsidRDefault="00E026EC" w:rsidP="00E026EC">
      <w:pPr>
        <w:spacing w:before="240"/>
      </w:pPr>
      <w:r>
        <w:t xml:space="preserve">In this section we </w:t>
      </w:r>
      <w:r w:rsidR="00FA1514">
        <w:t xml:space="preserve">discuss the details related to overhead assumptions for peak data rate and spectral efficiency evaluations. </w:t>
      </w:r>
      <w:r>
        <w:t xml:space="preserve">To this end, we first note that in </w:t>
      </w:r>
      <w:r>
        <w:fldChar w:fldCharType="begin"/>
      </w:r>
      <w:r>
        <w:instrText xml:space="preserve"> REF _Ref520884239 \r \h </w:instrText>
      </w:r>
      <w:r>
        <w:fldChar w:fldCharType="separate"/>
      </w:r>
      <w:r>
        <w:t>[7]</w:t>
      </w:r>
      <w:r>
        <w:fldChar w:fldCharType="end"/>
      </w:r>
      <w:r>
        <w:t xml:space="preserve">, the agreed upon values of overhead are as follows: </w:t>
      </w:r>
    </w:p>
    <w:p w:rsidR="00E026EC" w:rsidRDefault="00E026EC" w:rsidP="00E026EC">
      <w:pPr>
        <w:spacing w:before="240"/>
        <w:ind w:left="720"/>
      </w:pPr>
      <w:r>
        <w:t>•</w:t>
      </w:r>
      <w:r>
        <w:tab/>
        <w:t>0.14, for frequency range FR1 for DL</w:t>
      </w:r>
    </w:p>
    <w:p w:rsidR="00E026EC" w:rsidRDefault="00E026EC" w:rsidP="00E026EC">
      <w:pPr>
        <w:ind w:left="720"/>
      </w:pPr>
      <w:r>
        <w:t>•</w:t>
      </w:r>
      <w:r>
        <w:tab/>
        <w:t>0.18, for frequency range FR2 for DL</w:t>
      </w:r>
    </w:p>
    <w:p w:rsidR="00E026EC" w:rsidRDefault="00E026EC" w:rsidP="00E026EC">
      <w:pPr>
        <w:ind w:left="720"/>
      </w:pPr>
      <w:r>
        <w:t>•</w:t>
      </w:r>
      <w:r>
        <w:tab/>
        <w:t>0.08, for frequency range FR1 for UL</w:t>
      </w:r>
    </w:p>
    <w:p w:rsidR="00E026EC" w:rsidRDefault="00E026EC" w:rsidP="00E026EC">
      <w:pPr>
        <w:ind w:left="720"/>
      </w:pPr>
      <w:r>
        <w:t>•</w:t>
      </w:r>
      <w:r>
        <w:tab/>
        <w:t>0.10, for frequency range FR2 for UL</w:t>
      </w:r>
    </w:p>
    <w:p w:rsidR="00E026EC" w:rsidRDefault="00E026EC" w:rsidP="00E026EC"/>
    <w:p w:rsidR="00E026EC" w:rsidRDefault="00E026EC" w:rsidP="00E026EC">
      <w:pPr>
        <w:jc w:val="both"/>
      </w:pPr>
      <w:r>
        <w:t xml:space="preserve">Firstly, however, an explanation pertaining to the utility of the approximate peak data rate, calculated in </w:t>
      </w:r>
      <w:r>
        <w:fldChar w:fldCharType="begin"/>
      </w:r>
      <w:r>
        <w:instrText xml:space="preserve"> REF _Ref520884239 \r \h </w:instrText>
      </w:r>
      <w:r>
        <w:fldChar w:fldCharType="separate"/>
      </w:r>
      <w:r>
        <w:t>[7]</w:t>
      </w:r>
      <w:r>
        <w:fldChar w:fldCharType="end"/>
      </w:r>
      <w:r>
        <w:t xml:space="preserve"> is in order. To this end, we would like to highlight the following points:</w:t>
      </w:r>
    </w:p>
    <w:p w:rsidR="00E026EC" w:rsidRDefault="00E026EC" w:rsidP="00E026EC">
      <w:pPr>
        <w:pStyle w:val="ListParagraph"/>
        <w:numPr>
          <w:ilvl w:val="0"/>
          <w:numId w:val="15"/>
        </w:numPr>
        <w:spacing w:before="240"/>
        <w:jc w:val="both"/>
      </w:pPr>
      <w:r>
        <w:t xml:space="preserve">First, we will discuss the configurability of a lower overhead i.e., 1 OFDM symbol per slot or 7.14%, according to the TBS calculation formula presented in TS 38.214 </w:t>
      </w:r>
      <w:r>
        <w:fldChar w:fldCharType="begin"/>
      </w:r>
      <w:r>
        <w:instrText xml:space="preserve"> REF _Ref520887808 \n \h </w:instrText>
      </w:r>
      <w:r>
        <w:fldChar w:fldCharType="separate"/>
      </w:r>
      <w:r>
        <w:t>[8]</w:t>
      </w:r>
      <w:r>
        <w:fldChar w:fldCharType="end"/>
      </w:r>
      <w:r>
        <w:t xml:space="preserve">. To this end, we note that </w:t>
      </w:r>
      <w:r w:rsidRPr="007E6757">
        <w:rPr>
          <w:position w:val="-14"/>
        </w:rPr>
        <w:object w:dxaOrig="499" w:dyaOrig="380">
          <v:shape id="_x0000_i1044" type="#_x0000_t75" style="width:25pt;height:19pt" o:ole="">
            <v:imagedata r:id="rId45" o:title=""/>
          </v:shape>
          <o:OLEObject Type="Embed" ProgID="Equation.DSMT4" ShapeID="_x0000_i1044" DrawAspect="Content" ObjectID="_1595458030" r:id="rId46"/>
        </w:object>
      </w:r>
      <w:r>
        <w:t xml:space="preserve">represents the maximum data rate aggregated over CCs that is supported by a UE based on the reported UE capability on the band or band combinations supported by the UE.  On the other hand, TS 38.214 </w:t>
      </w:r>
      <w:r>
        <w:fldChar w:fldCharType="begin"/>
      </w:r>
      <w:r>
        <w:instrText xml:space="preserve"> REF _Ref520887808 \n \h </w:instrText>
      </w:r>
      <w:r>
        <w:fldChar w:fldCharType="separate"/>
      </w:r>
      <w:r>
        <w:t>[8]</w:t>
      </w:r>
      <w:r>
        <w:fldChar w:fldCharType="end"/>
      </w:r>
      <w:r>
        <w:t xml:space="preserve"> provides TBS calculation formula that is applicable per CC. Note that a gNB scheduler is free to transmit a TBS on one or more CCs (assuming a 7.14% overhead as per </w:t>
      </w:r>
      <w:r>
        <w:fldChar w:fldCharType="begin"/>
      </w:r>
      <w:r>
        <w:instrText xml:space="preserve"> REF _Ref520887808 \r \h </w:instrText>
      </w:r>
      <w:r>
        <w:fldChar w:fldCharType="separate"/>
      </w:r>
      <w:r>
        <w:t>[8]</w:t>
      </w:r>
      <w:r>
        <w:fldChar w:fldCharType="end"/>
      </w:r>
      <w:r>
        <w:t>) as long as the total data rate transmitted to that UE is not above</w:t>
      </w:r>
      <w:r w:rsidRPr="007E6757">
        <w:rPr>
          <w:position w:val="-14"/>
        </w:rPr>
        <w:object w:dxaOrig="499" w:dyaOrig="380">
          <v:shape id="_x0000_i1045" type="#_x0000_t75" style="width:25pt;height:19pt" o:ole="">
            <v:imagedata r:id="rId45" o:title=""/>
          </v:shape>
          <o:OLEObject Type="Embed" ProgID="Equation.DSMT4" ShapeID="_x0000_i1045" DrawAspect="Content" ObjectID="_1595458031" r:id="rId47"/>
        </w:object>
      </w:r>
      <w:r>
        <w:t xml:space="preserve">. Therefore there is no conflict between TS 38.214 </w:t>
      </w:r>
      <w:r>
        <w:fldChar w:fldCharType="begin"/>
      </w:r>
      <w:r>
        <w:instrText xml:space="preserve"> REF _Ref520887808 \n \h </w:instrText>
      </w:r>
      <w:r>
        <w:fldChar w:fldCharType="separate"/>
      </w:r>
      <w:r>
        <w:t>[8]</w:t>
      </w:r>
      <w:r>
        <w:fldChar w:fldCharType="end"/>
      </w:r>
      <w:r>
        <w:t xml:space="preserve"> and TS38.306 </w:t>
      </w:r>
      <w:r>
        <w:fldChar w:fldCharType="begin"/>
      </w:r>
      <w:r>
        <w:instrText xml:space="preserve"> REF _Ref520884239 \r \h </w:instrText>
      </w:r>
      <w:r>
        <w:fldChar w:fldCharType="separate"/>
      </w:r>
      <w:r>
        <w:t>[7]</w:t>
      </w:r>
      <w:r>
        <w:fldChar w:fldCharType="end"/>
      </w:r>
      <w:r>
        <w:t>. However, a UE is not expected to receive a peak data rate that is above</w:t>
      </w:r>
      <w:r w:rsidRPr="007E6757">
        <w:rPr>
          <w:position w:val="-14"/>
        </w:rPr>
        <w:object w:dxaOrig="499" w:dyaOrig="380">
          <v:shape id="_x0000_i1046" type="#_x0000_t75" style="width:25pt;height:19pt" o:ole="">
            <v:imagedata r:id="rId45" o:title=""/>
          </v:shape>
          <o:OLEObject Type="Embed" ProgID="Equation.DSMT4" ShapeID="_x0000_i1046" DrawAspect="Content" ObjectID="_1595458032" r:id="rId48"/>
        </w:object>
      </w:r>
      <w:r>
        <w:t>. Therefore for peak data rate calculation for IMT, it is not preferable to assume an overhead that violates</w:t>
      </w:r>
      <w:r w:rsidRPr="007E6757">
        <w:rPr>
          <w:position w:val="-14"/>
        </w:rPr>
        <w:object w:dxaOrig="499" w:dyaOrig="380">
          <v:shape id="_x0000_i1047" type="#_x0000_t75" style="width:25pt;height:19pt" o:ole="">
            <v:imagedata r:id="rId45" o:title=""/>
          </v:shape>
          <o:OLEObject Type="Embed" ProgID="Equation.DSMT4" ShapeID="_x0000_i1047" DrawAspect="Content" ObjectID="_1595458033" r:id="rId49"/>
        </w:object>
      </w:r>
      <w:r>
        <w:t xml:space="preserve">. To emphasize again, the utility of a lower overhead assumption in </w:t>
      </w:r>
      <w:r>
        <w:fldChar w:fldCharType="begin"/>
      </w:r>
      <w:r>
        <w:instrText xml:space="preserve"> REF _Ref520887808 \r \h </w:instrText>
      </w:r>
      <w:r>
        <w:fldChar w:fldCharType="separate"/>
      </w:r>
      <w:r>
        <w:t>[8]</w:t>
      </w:r>
      <w:r>
        <w:fldChar w:fldCharType="end"/>
      </w:r>
      <w:r>
        <w:t xml:space="preserve"> lies in the fact that it can provide high data rate in one or more CC while not violating the </w:t>
      </w:r>
      <w:r w:rsidRPr="007E6757">
        <w:rPr>
          <w:position w:val="-14"/>
        </w:rPr>
        <w:object w:dxaOrig="499" w:dyaOrig="380">
          <v:shape id="_x0000_i1048" type="#_x0000_t75" style="width:25pt;height:19pt" o:ole="">
            <v:imagedata r:id="rId45" o:title=""/>
          </v:shape>
          <o:OLEObject Type="Embed" ProgID="Equation.DSMT4" ShapeID="_x0000_i1048" DrawAspect="Content" ObjectID="_1595458034" r:id="rId50"/>
        </w:object>
      </w:r>
      <w:r>
        <w:t xml:space="preserve">. Therefore the lower overhead assumption in </w:t>
      </w:r>
      <w:r>
        <w:fldChar w:fldCharType="begin"/>
      </w:r>
      <w:r>
        <w:instrText xml:space="preserve"> REF _Ref520887808 \r \h </w:instrText>
      </w:r>
      <w:r>
        <w:fldChar w:fldCharType="separate"/>
      </w:r>
      <w:r>
        <w:t>[8]</w:t>
      </w:r>
      <w:r>
        <w:fldChar w:fldCharType="end"/>
      </w:r>
      <w:r>
        <w:t xml:space="preserve"> should not be extended to one or more CCs such that it violates</w:t>
      </w:r>
      <w:r w:rsidRPr="007E6757">
        <w:rPr>
          <w:position w:val="-14"/>
        </w:rPr>
        <w:object w:dxaOrig="499" w:dyaOrig="380">
          <v:shape id="_x0000_i1049" type="#_x0000_t75" style="width:25pt;height:19pt" o:ole="">
            <v:imagedata r:id="rId45" o:title=""/>
          </v:shape>
          <o:OLEObject Type="Embed" ProgID="Equation.DSMT4" ShapeID="_x0000_i1049" DrawAspect="Content" ObjectID="_1595458035" r:id="rId51"/>
        </w:object>
      </w:r>
      <w:r>
        <w:t xml:space="preserve">. </w:t>
      </w:r>
    </w:p>
    <w:p w:rsidR="00E026EC" w:rsidRDefault="00E026EC" w:rsidP="00E026EC">
      <w:pPr>
        <w:pStyle w:val="ListParagraph"/>
        <w:numPr>
          <w:ilvl w:val="0"/>
          <w:numId w:val="15"/>
        </w:numPr>
        <w:jc w:val="both"/>
      </w:pPr>
      <w:r>
        <w:t xml:space="preserve">Secondly, the term </w:t>
      </w:r>
      <w:r w:rsidRPr="007E6757">
        <w:rPr>
          <w:i/>
        </w:rPr>
        <w:t>“approximate</w:t>
      </w:r>
      <w:r>
        <w:rPr>
          <w:i/>
        </w:rPr>
        <w:t xml:space="preserve"> peak rate</w:t>
      </w:r>
      <w:r w:rsidRPr="007E6757">
        <w:rPr>
          <w:i/>
        </w:rPr>
        <w:t>”</w:t>
      </w:r>
      <w:r>
        <w:t xml:space="preserve"> is used in this regard since the data rate calculated using the formula in </w:t>
      </w:r>
      <w:r>
        <w:fldChar w:fldCharType="begin"/>
      </w:r>
      <w:r>
        <w:instrText xml:space="preserve"> REF _Ref520884239 \n \h </w:instrText>
      </w:r>
      <w:r>
        <w:fldChar w:fldCharType="separate"/>
      </w:r>
      <w:r>
        <w:t>[7]</w:t>
      </w:r>
      <w:r>
        <w:fldChar w:fldCharType="end"/>
      </w:r>
      <w:r>
        <w:t xml:space="preserve"> does not use the actual TBS size from </w:t>
      </w:r>
      <w:r>
        <w:fldChar w:fldCharType="begin"/>
      </w:r>
      <w:r>
        <w:instrText xml:space="preserve"> REF _Ref520887808 \n \h </w:instrText>
      </w:r>
      <w:r>
        <w:fldChar w:fldCharType="separate"/>
      </w:r>
      <w:r>
        <w:t>[8]</w:t>
      </w:r>
      <w:r>
        <w:fldChar w:fldCharType="end"/>
      </w:r>
      <w:r>
        <w:t>. Therefore the actual scheduled peak data rate based on TBS configuration will be based on the highest TBS size such that the scheduled data rate does not exceed</w:t>
      </w:r>
      <w:r w:rsidRPr="00D26517">
        <w:rPr>
          <w:position w:val="-14"/>
        </w:rPr>
        <w:object w:dxaOrig="499" w:dyaOrig="380">
          <v:shape id="_x0000_i1050" type="#_x0000_t75" style="width:25pt;height:19pt" o:ole="">
            <v:imagedata r:id="rId52" o:title=""/>
          </v:shape>
          <o:OLEObject Type="Embed" ProgID="Equation.DSMT4" ShapeID="_x0000_i1050" DrawAspect="Content" ObjectID="_1595458036" r:id="rId53"/>
        </w:object>
      </w:r>
      <w:r>
        <w:t xml:space="preserve">. </w:t>
      </w:r>
    </w:p>
    <w:p w:rsidR="00E026EC" w:rsidRDefault="00E026EC" w:rsidP="002B4127">
      <w:pPr>
        <w:jc w:val="both"/>
      </w:pPr>
      <w:r>
        <w:t xml:space="preserve">Based on the above clarification, we prefer using the overhead values specified in </w:t>
      </w:r>
      <w:r>
        <w:fldChar w:fldCharType="begin"/>
      </w:r>
      <w:r>
        <w:instrText xml:space="preserve"> REF _Ref520884239 \n \h </w:instrText>
      </w:r>
      <w:r>
        <w:fldChar w:fldCharType="separate"/>
      </w:r>
      <w:r>
        <w:t>[7]</w:t>
      </w:r>
      <w:r>
        <w:fldChar w:fldCharType="end"/>
      </w:r>
      <w:r w:rsidR="0041286A">
        <w:t>. We</w:t>
      </w:r>
      <w:r>
        <w:t xml:space="preserve"> provide further details on the system assumptions under which these overhead values can be derived for any given CC</w:t>
      </w:r>
      <w:r w:rsidR="002B4127">
        <w:t xml:space="preserve"> in our companion contribution </w:t>
      </w:r>
      <w:r w:rsidR="002B4127">
        <w:fldChar w:fldCharType="begin"/>
      </w:r>
      <w:r w:rsidR="002B4127">
        <w:instrText xml:space="preserve"> REF _Ref521698455 \r \h </w:instrText>
      </w:r>
      <w:r w:rsidR="002B4127">
        <w:fldChar w:fldCharType="separate"/>
      </w:r>
      <w:r w:rsidR="002B4127">
        <w:t>[11]</w:t>
      </w:r>
      <w:r w:rsidR="002B4127">
        <w:fldChar w:fldCharType="end"/>
      </w:r>
      <w:r w:rsidR="0041286A">
        <w:t xml:space="preserve"> and on the details of TBS calculation in our contribution </w:t>
      </w:r>
      <w:r w:rsidR="0041286A">
        <w:fldChar w:fldCharType="begin"/>
      </w:r>
      <w:r w:rsidR="0041286A">
        <w:instrText xml:space="preserve"> REF _Ref521715863 \r \h </w:instrText>
      </w:r>
      <w:r w:rsidR="0041286A">
        <w:fldChar w:fldCharType="separate"/>
      </w:r>
      <w:r w:rsidR="0041286A">
        <w:t>[19]</w:t>
      </w:r>
      <w:r w:rsidR="0041286A">
        <w:fldChar w:fldCharType="end"/>
      </w:r>
      <w:bookmarkStart w:id="5" w:name="_GoBack"/>
      <w:bookmarkEnd w:id="5"/>
      <w:r>
        <w:t>.</w:t>
      </w:r>
    </w:p>
    <w:p w:rsidR="002B4127" w:rsidRDefault="002B4127" w:rsidP="002B4127">
      <w:pPr>
        <w:pStyle w:val="Heading2"/>
        <w:ind w:left="0" w:firstLine="0"/>
        <w:rPr>
          <w:rFonts w:ascii="Times New Roman" w:hAnsi="Times New Roman"/>
          <w:sz w:val="20"/>
        </w:rPr>
      </w:pPr>
      <w:r>
        <w:t>User Experienced Data Rate</w:t>
      </w:r>
    </w:p>
    <w:p w:rsidR="0043418F" w:rsidRPr="00A94D4E" w:rsidRDefault="0043418F" w:rsidP="0043418F">
      <w:pPr>
        <w:spacing w:before="240"/>
        <w:jc w:val="both"/>
        <w:rPr>
          <w:rFonts w:ascii="Times" w:eastAsia="Batang" w:hAnsi="Times"/>
          <w:lang w:val="en-GB" w:eastAsia="x-none"/>
        </w:rPr>
      </w:pPr>
      <w:r w:rsidRPr="00A94D4E">
        <w:rPr>
          <w:rFonts w:ascii="Times" w:eastAsia="Batang" w:hAnsi="Times"/>
          <w:lang w:val="en-GB" w:eastAsia="x-none"/>
        </w:rPr>
        <w:t>The user experienced data rate is evaluated for Dense Urban-eMBB test scenario and can be derived analytically after system level simulations. The 5</w:t>
      </w:r>
      <w:r w:rsidRPr="00A94D4E">
        <w:rPr>
          <w:rFonts w:ascii="Times" w:eastAsia="Batang" w:hAnsi="Times"/>
          <w:vertAlign w:val="superscript"/>
          <w:lang w:val="en-GB" w:eastAsia="x-none"/>
        </w:rPr>
        <w:t>th</w:t>
      </w:r>
      <w:r w:rsidRPr="00A94D4E">
        <w:rPr>
          <w:rFonts w:ascii="Times" w:eastAsia="Batang" w:hAnsi="Times"/>
          <w:lang w:val="en-GB" w:eastAsia="x-none"/>
        </w:rPr>
        <w:t xml:space="preserve"> percentile S</w:t>
      </w:r>
      <w:r>
        <w:rPr>
          <w:rFonts w:ascii="Times" w:eastAsia="Batang" w:hAnsi="Times"/>
          <w:lang w:val="en-GB" w:eastAsia="x-none"/>
        </w:rPr>
        <w:t>pectral Efficiency evaluated from full-</w:t>
      </w:r>
      <w:r w:rsidRPr="00A94D4E">
        <w:rPr>
          <w:rFonts w:ascii="Times" w:eastAsia="Batang" w:hAnsi="Times"/>
          <w:lang w:val="en-GB" w:eastAsia="x-none"/>
        </w:rPr>
        <w:t>buffer system level simulator can be used to calculate UE experienced data rate as follows:</w:t>
      </w:r>
    </w:p>
    <w:p w:rsidR="0043418F" w:rsidRPr="00A94D4E" w:rsidRDefault="0043418F" w:rsidP="0043418F">
      <w:pPr>
        <w:jc w:val="center"/>
        <w:rPr>
          <w:rFonts w:ascii="Times" w:eastAsia="Batang" w:hAnsi="Times"/>
          <w:lang w:val="en-GB" w:eastAsia="x-none"/>
        </w:rPr>
      </w:pPr>
      <w:r w:rsidRPr="00A94D4E">
        <w:rPr>
          <w:rFonts w:ascii="Times" w:eastAsia="Batang" w:hAnsi="Times"/>
          <w:position w:val="-12"/>
          <w:lang w:val="en-GB" w:eastAsia="x-none"/>
        </w:rPr>
        <w:object w:dxaOrig="1600" w:dyaOrig="360">
          <v:shape id="_x0000_i1051" type="#_x0000_t75" style="width:80pt;height:18.5pt" o:ole="">
            <v:imagedata r:id="rId54" o:title=""/>
          </v:shape>
          <o:OLEObject Type="Embed" ProgID="Equation.DSMT4" ShapeID="_x0000_i1051" DrawAspect="Content" ObjectID="_1595458037" r:id="rId55"/>
        </w:object>
      </w:r>
    </w:p>
    <w:p w:rsidR="0043418F" w:rsidRDefault="0043418F" w:rsidP="0043418F">
      <w:pPr>
        <w:jc w:val="both"/>
        <w:rPr>
          <w:lang w:val="en-GB"/>
        </w:rPr>
      </w:pPr>
      <w:proofErr w:type="gramStart"/>
      <w:r>
        <w:rPr>
          <w:lang w:val="en-GB"/>
        </w:rPr>
        <w:t>where</w:t>
      </w:r>
      <w:proofErr w:type="gramEnd"/>
      <w:r>
        <w:rPr>
          <w:lang w:val="en-GB"/>
        </w:rPr>
        <w:t xml:space="preserve">, </w:t>
      </w:r>
      <w:r w:rsidRPr="00A94D4E">
        <w:rPr>
          <w:i/>
          <w:lang w:val="en-GB"/>
        </w:rPr>
        <w:t>W</w:t>
      </w:r>
      <w:r>
        <w:rPr>
          <w:i/>
          <w:lang w:val="en-GB"/>
        </w:rPr>
        <w:t xml:space="preserve"> </w:t>
      </w:r>
      <w:r w:rsidRPr="00A94D4E">
        <w:rPr>
          <w:lang w:val="en-GB"/>
        </w:rPr>
        <w:t>is the</w:t>
      </w:r>
      <w:r>
        <w:rPr>
          <w:lang w:val="en-GB"/>
        </w:rPr>
        <w:t xml:space="preserve"> bandwidth of operation. </w:t>
      </w:r>
    </w:p>
    <w:p w:rsidR="0043418F" w:rsidRDefault="0043418F" w:rsidP="0043418F">
      <w:pPr>
        <w:jc w:val="both"/>
        <w:rPr>
          <w:lang w:val="en-GB"/>
        </w:rPr>
      </w:pPr>
    </w:p>
    <w:p w:rsidR="0043418F" w:rsidRDefault="0043418F" w:rsidP="0043418F">
      <w:pPr>
        <w:jc w:val="both"/>
        <w:rPr>
          <w:lang w:val="en-GB"/>
        </w:rPr>
      </w:pPr>
      <w:r>
        <w:rPr>
          <w:lang w:val="en-GB"/>
        </w:rPr>
        <w:t>For the case of TDD operation, the user experienced data rate should be scaled appropriately using the DL/UL ratio for the chosen TDD frame structure. Therefore for TDD operation, the user experienced data rate can be calculated using the 5</w:t>
      </w:r>
      <w:r w:rsidRPr="008543AB">
        <w:rPr>
          <w:vertAlign w:val="superscript"/>
          <w:lang w:val="en-GB"/>
        </w:rPr>
        <w:t>th</w:t>
      </w:r>
      <w:r>
        <w:rPr>
          <w:lang w:val="en-GB"/>
        </w:rPr>
        <w:t xml:space="preserve"> percentile TDD spectral efficiency as follows:</w:t>
      </w:r>
    </w:p>
    <w:p w:rsidR="0043418F" w:rsidRDefault="0043418F" w:rsidP="0043418F">
      <w:pPr>
        <w:jc w:val="center"/>
        <w:rPr>
          <w:lang w:val="en-GB"/>
        </w:rPr>
      </w:pPr>
      <w:r w:rsidRPr="008543AB">
        <w:rPr>
          <w:position w:val="-12"/>
          <w:lang w:val="en-GB"/>
        </w:rPr>
        <w:object w:dxaOrig="1960" w:dyaOrig="380">
          <v:shape id="_x0000_i1052" type="#_x0000_t75" style="width:98pt;height:19pt" o:ole="">
            <v:imagedata r:id="rId56" o:title=""/>
          </v:shape>
          <o:OLEObject Type="Embed" ProgID="Equation.DSMT4" ShapeID="_x0000_i1052" DrawAspect="Content" ObjectID="_1595458038" r:id="rId57"/>
        </w:object>
      </w:r>
      <w:r>
        <w:rPr>
          <w:lang w:val="en-GB"/>
        </w:rPr>
        <w:t>.</w:t>
      </w:r>
    </w:p>
    <w:p w:rsidR="0043418F" w:rsidRDefault="0043418F" w:rsidP="0043418F">
      <w:pPr>
        <w:jc w:val="center"/>
        <w:rPr>
          <w:lang w:val="en-GB"/>
        </w:rPr>
      </w:pPr>
    </w:p>
    <w:p w:rsidR="0043418F" w:rsidRDefault="0043418F" w:rsidP="0043418F">
      <w:r>
        <w:t xml:space="preserve">The additional scaling term </w:t>
      </w:r>
      <w:r w:rsidRPr="00A868BF">
        <w:rPr>
          <w:position w:val="-6"/>
        </w:rPr>
        <w:object w:dxaOrig="240" w:dyaOrig="220">
          <v:shape id="_x0000_i1053" type="#_x0000_t75" style="width:12pt;height:11pt" o:ole="">
            <v:imagedata r:id="rId58" o:title=""/>
          </v:shape>
          <o:OLEObject Type="Embed" ProgID="Equation.DSMT4" ShapeID="_x0000_i1053" DrawAspect="Content" ObjectID="_1595458039" r:id="rId59"/>
        </w:object>
      </w:r>
      <w:r>
        <w:t xml:space="preserve"> accounts for the DL/UL occupancy ratio for TDD and can be evaluated as follows</w:t>
      </w:r>
    </w:p>
    <w:p w:rsidR="0043418F" w:rsidRDefault="0043418F" w:rsidP="0043418F"/>
    <w:p w:rsidR="0043418F" w:rsidRDefault="0043418F" w:rsidP="0043418F">
      <w:pPr>
        <w:spacing w:after="240"/>
        <w:jc w:val="center"/>
      </w:pPr>
      <w:r w:rsidRPr="007A2008">
        <w:rPr>
          <w:position w:val="-28"/>
        </w:rPr>
        <w:object w:dxaOrig="6020" w:dyaOrig="660">
          <v:shape id="_x0000_i1054" type="#_x0000_t75" style="width:301.5pt;height:33.5pt" o:ole="">
            <v:imagedata r:id="rId60" o:title=""/>
          </v:shape>
          <o:OLEObject Type="Embed" ProgID="Equation.DSMT4" ShapeID="_x0000_i1054" DrawAspect="Content" ObjectID="_1595458040" r:id="rId61"/>
        </w:object>
      </w:r>
      <w:r>
        <w:t xml:space="preserve">. </w:t>
      </w:r>
    </w:p>
    <w:p w:rsidR="0043418F" w:rsidRDefault="0043418F" w:rsidP="0043418F">
      <w:pPr>
        <w:jc w:val="both"/>
      </w:pPr>
      <w:r>
        <w:lastRenderedPageBreak/>
        <w:t>In this paper, we consider a TDD frame structure of ‘DSUUD’ with the S slot having 6 downlink symbols, 2 guard symbols and 6 uplink symbols. Therefore in this case</w:t>
      </w:r>
      <w:r w:rsidRPr="007A2008">
        <w:rPr>
          <w:position w:val="-12"/>
        </w:rPr>
        <w:object w:dxaOrig="1560" w:dyaOrig="360">
          <v:shape id="_x0000_i1055" type="#_x0000_t75" style="width:73pt;height:17pt" o:ole="">
            <v:imagedata r:id="rId62" o:title=""/>
          </v:shape>
          <o:OLEObject Type="Embed" ProgID="Equation.DSMT4" ShapeID="_x0000_i1055" DrawAspect="Content" ObjectID="_1595458041" r:id="rId63"/>
        </w:object>
      </w:r>
      <w:r>
        <w:t xml:space="preserve">. </w:t>
      </w:r>
    </w:p>
    <w:p w:rsidR="0043418F" w:rsidRDefault="0043418F" w:rsidP="0043418F">
      <w:pPr>
        <w:jc w:val="both"/>
      </w:pPr>
    </w:p>
    <w:p w:rsidR="0043418F" w:rsidRDefault="0043418F" w:rsidP="0043418F">
      <w:pPr>
        <w:jc w:val="both"/>
      </w:pPr>
      <w:r>
        <w:t>To show that NR can meet the User Experience Data Rate target of 100 Mbit/s for downlink and 50 Mbit/s for uplink, we adopt the following methodology:</w:t>
      </w:r>
    </w:p>
    <w:p w:rsidR="0043418F" w:rsidRDefault="0043418F" w:rsidP="0043418F">
      <w:pPr>
        <w:pStyle w:val="ListParagraph"/>
        <w:numPr>
          <w:ilvl w:val="0"/>
          <w:numId w:val="18"/>
        </w:numPr>
        <w:jc w:val="both"/>
        <w:rPr>
          <w:lang w:val="en-GB"/>
        </w:rPr>
      </w:pPr>
      <w:r>
        <w:rPr>
          <w:lang w:val="en-GB"/>
        </w:rPr>
        <w:t xml:space="preserve">Run system level simulation with full-buffer traffic model and assumptions in Appendix corresponding to a single layer macro-cell only deployment for IMT Configuration C for Dense Urban Macro </w:t>
      </w:r>
      <w:r>
        <w:rPr>
          <w:lang w:val="en-GB"/>
        </w:rPr>
        <w:fldChar w:fldCharType="begin"/>
      </w:r>
      <w:r>
        <w:rPr>
          <w:lang w:val="en-GB"/>
        </w:rPr>
        <w:instrText xml:space="preserve"> REF _Ref521526118 \r \h </w:instrText>
      </w:r>
      <w:r>
        <w:rPr>
          <w:lang w:val="en-GB"/>
        </w:rPr>
      </w:r>
      <w:r>
        <w:rPr>
          <w:lang w:val="en-GB"/>
        </w:rPr>
        <w:fldChar w:fldCharType="separate"/>
      </w:r>
      <w:r>
        <w:rPr>
          <w:lang w:val="en-GB"/>
        </w:rPr>
        <w:t>[3]</w:t>
      </w:r>
      <w:r>
        <w:rPr>
          <w:lang w:val="en-GB"/>
        </w:rPr>
        <w:fldChar w:fldCharType="end"/>
      </w:r>
      <w:r>
        <w:rPr>
          <w:lang w:val="en-GB"/>
        </w:rPr>
        <w:t xml:space="preserve"> to obtain the 5</w:t>
      </w:r>
      <w:r w:rsidRPr="007F0B7C">
        <w:rPr>
          <w:vertAlign w:val="superscript"/>
          <w:lang w:val="en-GB"/>
        </w:rPr>
        <w:t>th</w:t>
      </w:r>
      <w:r>
        <w:rPr>
          <w:lang w:val="en-GB"/>
        </w:rPr>
        <w:t xml:space="preserve"> percentile spectral efficiency for Dense Urban Macro test environment</w:t>
      </w:r>
    </w:p>
    <w:p w:rsidR="0043418F" w:rsidRDefault="0043418F" w:rsidP="0043418F">
      <w:pPr>
        <w:pStyle w:val="ListParagraph"/>
        <w:numPr>
          <w:ilvl w:val="0"/>
          <w:numId w:val="18"/>
        </w:numPr>
        <w:jc w:val="both"/>
        <w:rPr>
          <w:lang w:val="en-GB"/>
        </w:rPr>
      </w:pPr>
      <w:r>
        <w:rPr>
          <w:lang w:val="en-GB"/>
        </w:rPr>
        <w:t xml:space="preserve">Using the above formula with </w:t>
      </w:r>
      <w:r w:rsidRPr="007F0B7C">
        <w:rPr>
          <w:position w:val="-12"/>
          <w:lang w:val="en-GB"/>
        </w:rPr>
        <w:object w:dxaOrig="480" w:dyaOrig="360">
          <v:shape id="_x0000_i1056" type="#_x0000_t75" style="width:24pt;height:18pt" o:ole="">
            <v:imagedata r:id="rId64" o:title=""/>
          </v:shape>
          <o:OLEObject Type="Embed" ProgID="Equation.DSMT4" ShapeID="_x0000_i1056" DrawAspect="Content" ObjectID="_1595458042" r:id="rId65"/>
        </w:object>
      </w:r>
      <w:r>
        <w:rPr>
          <w:lang w:val="en-GB"/>
        </w:rPr>
        <w:t xml:space="preserve">set as the target user experienced data rate, evaluate the value of bandwidth </w:t>
      </w:r>
      <w:r w:rsidRPr="00F06C36">
        <w:rPr>
          <w:i/>
          <w:lang w:val="en-GB"/>
        </w:rPr>
        <w:t>W</w:t>
      </w:r>
      <w:r>
        <w:rPr>
          <w:lang w:val="en-GB"/>
        </w:rPr>
        <w:t xml:space="preserve">, required to meet the target user experienced data rate for downlink and uplink respectively. </w:t>
      </w:r>
    </w:p>
    <w:p w:rsidR="0043418F" w:rsidRDefault="0043418F" w:rsidP="0043418F">
      <w:pPr>
        <w:pStyle w:val="ListParagraph"/>
        <w:numPr>
          <w:ilvl w:val="0"/>
          <w:numId w:val="18"/>
        </w:numPr>
        <w:jc w:val="both"/>
        <w:rPr>
          <w:lang w:val="en-GB"/>
        </w:rPr>
      </w:pPr>
      <w:r>
        <w:rPr>
          <w:lang w:val="en-GB"/>
        </w:rPr>
        <w:t xml:space="preserve">Use the supported bandwidth in NR to show that </w:t>
      </w:r>
      <w:r w:rsidRPr="00F06C36">
        <w:rPr>
          <w:i/>
          <w:lang w:val="en-GB"/>
        </w:rPr>
        <w:t>W</w:t>
      </w:r>
      <w:r>
        <w:rPr>
          <w:lang w:val="en-GB"/>
        </w:rPr>
        <w:t xml:space="preserve"> can be supported as operating BW thereby meeting IMT-2020 the requirements for user experienced data rate.</w:t>
      </w:r>
    </w:p>
    <w:p w:rsidR="0043418F" w:rsidRPr="0043418F" w:rsidRDefault="0043418F" w:rsidP="0043418F">
      <w:pPr>
        <w:jc w:val="both"/>
        <w:rPr>
          <w:lang w:val="en-GB"/>
        </w:rPr>
      </w:pPr>
      <w:r>
        <w:rPr>
          <w:lang w:val="en-GB"/>
        </w:rPr>
        <w:t xml:space="preserve">Based on the above methodology, detailed evaluations are presented in our companion contribution </w:t>
      </w:r>
      <w:r>
        <w:rPr>
          <w:lang w:val="en-GB"/>
        </w:rPr>
        <w:fldChar w:fldCharType="begin"/>
      </w:r>
      <w:r>
        <w:rPr>
          <w:lang w:val="en-GB"/>
        </w:rPr>
        <w:instrText xml:space="preserve"> REF _Ref521703887 \r \h </w:instrText>
      </w:r>
      <w:r>
        <w:rPr>
          <w:lang w:val="en-GB"/>
        </w:rPr>
      </w:r>
      <w:r>
        <w:rPr>
          <w:lang w:val="en-GB"/>
        </w:rPr>
        <w:fldChar w:fldCharType="separate"/>
      </w:r>
      <w:r>
        <w:rPr>
          <w:lang w:val="en-GB"/>
        </w:rPr>
        <w:t>[15]</w:t>
      </w:r>
      <w:r>
        <w:rPr>
          <w:lang w:val="en-GB"/>
        </w:rPr>
        <w:fldChar w:fldCharType="end"/>
      </w:r>
      <w:r>
        <w:rPr>
          <w:lang w:val="en-GB"/>
        </w:rPr>
        <w:t>.</w:t>
      </w:r>
    </w:p>
    <w:p w:rsidR="00E026EC" w:rsidRDefault="00E026EC" w:rsidP="00E026EC">
      <w:pPr>
        <w:rPr>
          <w:lang w:val="en-GB"/>
        </w:rPr>
      </w:pPr>
    </w:p>
    <w:p w:rsidR="00C84511" w:rsidRDefault="00C84511" w:rsidP="00C84511">
      <w:pPr>
        <w:pStyle w:val="Heading2"/>
        <w:ind w:left="0" w:firstLine="0"/>
      </w:pPr>
      <w:r>
        <w:t>Area Traffic Capacity</w:t>
      </w:r>
    </w:p>
    <w:p w:rsidR="001034B1" w:rsidRDefault="001034B1" w:rsidP="001034B1">
      <w:pPr>
        <w:spacing w:before="240"/>
        <w:jc w:val="both"/>
        <w:rPr>
          <w:lang w:eastAsia="x-none"/>
        </w:rPr>
      </w:pPr>
      <w:r>
        <w:t xml:space="preserve">The analytical metric of Area Traffic Capacity is defined for the NR Indoor Hotspot test environment with 12 TRxP and 36 TRxP deployment </w:t>
      </w:r>
      <w:r>
        <w:fldChar w:fldCharType="begin"/>
      </w:r>
      <w:r>
        <w:instrText xml:space="preserve"> REF _Ref521659385 \r \h </w:instrText>
      </w:r>
      <w:r>
        <w:fldChar w:fldCharType="separate"/>
      </w:r>
      <w:r>
        <w:t>[3]</w:t>
      </w:r>
      <w:r>
        <w:fldChar w:fldCharType="end"/>
      </w:r>
      <w:r>
        <w:t>. The area traffic capacity can be calculated analytically as follows:</w:t>
      </w:r>
    </w:p>
    <w:p w:rsidR="001034B1" w:rsidRDefault="001034B1" w:rsidP="001034B1">
      <w:pPr>
        <w:spacing w:before="240" w:after="240"/>
        <w:jc w:val="center"/>
        <w:rPr>
          <w:lang w:eastAsia="x-none"/>
        </w:rPr>
      </w:pPr>
      <w:r w:rsidRPr="001364EC">
        <w:rPr>
          <w:position w:val="-14"/>
          <w:lang w:eastAsia="x-none"/>
        </w:rPr>
        <w:object w:dxaOrig="2000" w:dyaOrig="380">
          <v:shape id="_x0000_i1057" type="#_x0000_t75" style="width:99.5pt;height:19.5pt" o:ole="">
            <v:imagedata r:id="rId66" o:title=""/>
          </v:shape>
          <o:OLEObject Type="Embed" ProgID="Equation.DSMT4" ShapeID="_x0000_i1057" DrawAspect="Content" ObjectID="_1595458043" r:id="rId67"/>
        </w:object>
      </w:r>
      <w:r>
        <w:rPr>
          <w:lang w:eastAsia="x-none"/>
        </w:rPr>
        <w:t>.</w:t>
      </w:r>
    </w:p>
    <w:p w:rsidR="001034B1" w:rsidRDefault="001034B1" w:rsidP="001034B1">
      <w:pPr>
        <w:jc w:val="both"/>
        <w:rPr>
          <w:lang w:val="en-GB"/>
        </w:rPr>
      </w:pPr>
      <w:r>
        <w:rPr>
          <w:lang w:eastAsia="x-none"/>
        </w:rPr>
        <w:t>Here</w:t>
      </w:r>
      <w:r w:rsidRPr="001364EC">
        <w:rPr>
          <w:position w:val="-10"/>
          <w:lang w:eastAsia="x-none"/>
        </w:rPr>
        <w:object w:dxaOrig="240" w:dyaOrig="260">
          <v:shape id="_x0000_i1058" type="#_x0000_t75" style="width:10.5pt;height:12pt" o:ole="">
            <v:imagedata r:id="rId68" o:title=""/>
          </v:shape>
          <o:OLEObject Type="Embed" ProgID="Equation.DSMT4" ShapeID="_x0000_i1058" DrawAspect="Content" ObjectID="_1595458044" r:id="rId69"/>
        </w:object>
      </w:r>
      <w:r>
        <w:rPr>
          <w:lang w:eastAsia="x-none"/>
        </w:rPr>
        <w:t xml:space="preserve"> is the TRxP density in TRxP/m</w:t>
      </w:r>
      <w:r>
        <w:rPr>
          <w:vertAlign w:val="superscript"/>
          <w:lang w:eastAsia="x-none"/>
        </w:rPr>
        <w:t xml:space="preserve">2 </w:t>
      </w:r>
      <w:r>
        <w:rPr>
          <w:lang w:eastAsia="x-none"/>
        </w:rPr>
        <w:t xml:space="preserve">and average spectral efficiency is evaluated through system level simulations </w:t>
      </w:r>
      <w:r>
        <w:rPr>
          <w:lang w:eastAsia="x-none"/>
        </w:rPr>
        <w:fldChar w:fldCharType="begin"/>
      </w:r>
      <w:r>
        <w:rPr>
          <w:lang w:eastAsia="x-none"/>
        </w:rPr>
        <w:instrText xml:space="preserve"> REF _Ref521659385 \r \h </w:instrText>
      </w:r>
      <w:r>
        <w:rPr>
          <w:lang w:eastAsia="x-none"/>
        </w:rPr>
      </w:r>
      <w:r>
        <w:rPr>
          <w:lang w:eastAsia="x-none"/>
        </w:rPr>
        <w:fldChar w:fldCharType="separate"/>
      </w:r>
      <w:r>
        <w:rPr>
          <w:lang w:eastAsia="x-none"/>
        </w:rPr>
        <w:t>[3]</w:t>
      </w:r>
      <w:r>
        <w:rPr>
          <w:lang w:eastAsia="x-none"/>
        </w:rPr>
        <w:fldChar w:fldCharType="end"/>
      </w:r>
      <w:r>
        <w:rPr>
          <w:lang w:eastAsia="x-none"/>
        </w:rPr>
        <w:t xml:space="preserve">. </w:t>
      </w:r>
      <w:r>
        <w:rPr>
          <w:lang w:val="en-GB"/>
        </w:rPr>
        <w:t>For the case of TDD operation, the area traffic capacity should be scaled appropriately using the DL/UL ratio for the chosen TDD frame structure. Therefore for TDD operation, the area traffic capacity can be calculated using the average downlink TDD spectral efficiency as follows:</w:t>
      </w:r>
    </w:p>
    <w:p w:rsidR="001034B1" w:rsidRDefault="001034B1" w:rsidP="001034B1">
      <w:pPr>
        <w:spacing w:before="240"/>
        <w:jc w:val="center"/>
        <w:rPr>
          <w:lang w:val="en-GB"/>
        </w:rPr>
      </w:pPr>
      <w:r w:rsidRPr="001364EC">
        <w:rPr>
          <w:position w:val="-14"/>
          <w:lang w:eastAsia="x-none"/>
        </w:rPr>
        <w:object w:dxaOrig="2680" w:dyaOrig="400">
          <v:shape id="_x0000_i1059" type="#_x0000_t75" style="width:148.5pt;height:22.5pt" o:ole="">
            <v:imagedata r:id="rId70" o:title=""/>
          </v:shape>
          <o:OLEObject Type="Embed" ProgID="Equation.DSMT4" ShapeID="_x0000_i1059" DrawAspect="Content" ObjectID="_1595458045" r:id="rId71"/>
        </w:object>
      </w:r>
      <w:r>
        <w:rPr>
          <w:lang w:val="en-GB"/>
        </w:rPr>
        <w:t>.</w:t>
      </w:r>
    </w:p>
    <w:p w:rsidR="001034B1" w:rsidRDefault="001034B1" w:rsidP="001034B1">
      <w:pPr>
        <w:jc w:val="center"/>
        <w:rPr>
          <w:lang w:val="en-GB"/>
        </w:rPr>
      </w:pPr>
    </w:p>
    <w:p w:rsidR="001034B1" w:rsidRDefault="001034B1" w:rsidP="001034B1">
      <w:r>
        <w:t xml:space="preserve">The additional scaling term </w:t>
      </w:r>
      <w:r w:rsidRPr="00A868BF">
        <w:rPr>
          <w:position w:val="-6"/>
        </w:rPr>
        <w:object w:dxaOrig="240" w:dyaOrig="220">
          <v:shape id="_x0000_i1060" type="#_x0000_t75" style="width:12pt;height:11pt" o:ole="">
            <v:imagedata r:id="rId58" o:title=""/>
          </v:shape>
          <o:OLEObject Type="Embed" ProgID="Equation.DSMT4" ShapeID="_x0000_i1060" DrawAspect="Content" ObjectID="_1595458046" r:id="rId72"/>
        </w:object>
      </w:r>
      <w:r>
        <w:t xml:space="preserve"> accounts for the DL/UL occupancy ratio for TDD and can be evaluated as follows</w:t>
      </w:r>
    </w:p>
    <w:p w:rsidR="001034B1" w:rsidRDefault="001034B1" w:rsidP="001034B1"/>
    <w:p w:rsidR="001034B1" w:rsidRDefault="001034B1" w:rsidP="001034B1">
      <w:pPr>
        <w:spacing w:after="240"/>
        <w:jc w:val="center"/>
      </w:pPr>
      <w:r w:rsidRPr="007A2008">
        <w:rPr>
          <w:position w:val="-28"/>
        </w:rPr>
        <w:object w:dxaOrig="5720" w:dyaOrig="660">
          <v:shape id="_x0000_i1061" type="#_x0000_t75" style="width:286.5pt;height:33.5pt" o:ole="">
            <v:imagedata r:id="rId73" o:title=""/>
          </v:shape>
          <o:OLEObject Type="Embed" ProgID="Equation.DSMT4" ShapeID="_x0000_i1061" DrawAspect="Content" ObjectID="_1595458047" r:id="rId74"/>
        </w:object>
      </w:r>
      <w:r>
        <w:t xml:space="preserve">. </w:t>
      </w:r>
    </w:p>
    <w:p w:rsidR="001034B1" w:rsidRDefault="001034B1" w:rsidP="001034B1">
      <w:pPr>
        <w:jc w:val="both"/>
      </w:pPr>
      <w:r>
        <w:t>In this paper, we consider a TDD frame structure of ‘DDDSU’ with the S slot having 11 downlink symbols, 1 guard symbols and 2 uplink symbols. Therefore in this case</w:t>
      </w:r>
      <w:r w:rsidRPr="007A2008">
        <w:rPr>
          <w:position w:val="-12"/>
        </w:rPr>
        <w:object w:dxaOrig="1320" w:dyaOrig="360">
          <v:shape id="_x0000_i1062" type="#_x0000_t75" style="width:62pt;height:17pt" o:ole="">
            <v:imagedata r:id="rId75" o:title=""/>
          </v:shape>
          <o:OLEObject Type="Embed" ProgID="Equation.DSMT4" ShapeID="_x0000_i1062" DrawAspect="Content" ObjectID="_1595458048" r:id="rId76"/>
        </w:object>
      </w:r>
      <w:r>
        <w:t xml:space="preserve">. </w:t>
      </w:r>
    </w:p>
    <w:p w:rsidR="001034B1" w:rsidRDefault="001034B1" w:rsidP="001034B1">
      <w:pPr>
        <w:spacing w:before="240"/>
        <w:jc w:val="both"/>
        <w:rPr>
          <w:lang w:eastAsia="x-none"/>
        </w:rPr>
      </w:pPr>
      <w:r>
        <w:rPr>
          <w:lang w:eastAsia="x-none"/>
        </w:rPr>
        <w:t xml:space="preserve">The Indoor Hotspot eMBB deployment is shown in the following figure </w:t>
      </w:r>
      <w:r>
        <w:rPr>
          <w:lang w:eastAsia="x-none"/>
        </w:rPr>
        <w:fldChar w:fldCharType="begin"/>
      </w:r>
      <w:r>
        <w:rPr>
          <w:lang w:eastAsia="x-none"/>
        </w:rPr>
        <w:instrText xml:space="preserve"> REF _Ref521659385 \r \h </w:instrText>
      </w:r>
      <w:r>
        <w:rPr>
          <w:lang w:eastAsia="x-none"/>
        </w:rPr>
      </w:r>
      <w:r>
        <w:rPr>
          <w:lang w:eastAsia="x-none"/>
        </w:rPr>
        <w:fldChar w:fldCharType="separate"/>
      </w:r>
      <w:r>
        <w:rPr>
          <w:lang w:eastAsia="x-none"/>
        </w:rPr>
        <w:t>[3]</w:t>
      </w:r>
      <w:r>
        <w:rPr>
          <w:lang w:eastAsia="x-none"/>
        </w:rPr>
        <w:fldChar w:fldCharType="end"/>
      </w:r>
      <w:r>
        <w:rPr>
          <w:lang w:eastAsia="x-none"/>
        </w:rPr>
        <w:t xml:space="preserve">. </w:t>
      </w:r>
    </w:p>
    <w:p w:rsidR="001034B1" w:rsidRDefault="00BE55BD" w:rsidP="001034B1">
      <w:pPr>
        <w:jc w:val="both"/>
        <w:rPr>
          <w:lang w:eastAsia="x-none"/>
        </w:rPr>
      </w:pPr>
      <w:r>
        <w:rPr>
          <w:noProof/>
          <w:sz w:val="24"/>
        </w:rPr>
        <w:object w:dxaOrig="1440" w:dyaOrig="1440">
          <v:shape id="_x0000_s1026" type="#_x0000_t75" style="position:absolute;left:0;text-align:left;margin-left:128.75pt;margin-top:11.5pt;width:223.6pt;height:107.9pt;z-index:251658240;mso-position-horizontal:absolute;mso-position-horizontal-relative:text;mso-position-vertical-relative:text">
            <v:imagedata r:id="rId77" o:title=""/>
            <w10:wrap type="square" side="right"/>
          </v:shape>
          <o:OLEObject Type="Embed" ProgID="Visio.Drawing.11" ShapeID="_x0000_s1026" DrawAspect="Content" ObjectID="_1595458066" r:id="rId78"/>
        </w:object>
      </w:r>
    </w:p>
    <w:p w:rsidR="001034B1" w:rsidRDefault="001034B1" w:rsidP="001034B1">
      <w:pPr>
        <w:rPr>
          <w:lang w:eastAsia="x-none"/>
        </w:rPr>
      </w:pPr>
      <w:r>
        <w:rPr>
          <w:sz w:val="24"/>
          <w:lang w:val="en-GB"/>
        </w:rPr>
        <w:br w:type="textWrapping" w:clear="all"/>
      </w:r>
      <w:r>
        <w:rPr>
          <w:lang w:eastAsia="x-none"/>
        </w:rPr>
        <w:t xml:space="preserve">Based on this deployment scenario 12 cell sites are deployed over an indoor area </w:t>
      </w:r>
      <w:proofErr w:type="gramStart"/>
      <w:r>
        <w:rPr>
          <w:lang w:eastAsia="x-none"/>
        </w:rPr>
        <w:t xml:space="preserve">of </w:t>
      </w:r>
      <w:proofErr w:type="gramEnd"/>
      <w:r w:rsidRPr="00326DB2">
        <w:rPr>
          <w:position w:val="-6"/>
          <w:lang w:eastAsia="x-none"/>
        </w:rPr>
        <w:object w:dxaOrig="1880" w:dyaOrig="320">
          <v:shape id="_x0000_i1063" type="#_x0000_t75" style="width:85pt;height:15pt" o:ole="">
            <v:imagedata r:id="rId79" o:title=""/>
          </v:shape>
          <o:OLEObject Type="Embed" ProgID="Equation.DSMT4" ShapeID="_x0000_i1063" DrawAspect="Content" ObjectID="_1595458049" r:id="rId80"/>
        </w:object>
      </w:r>
      <w:r>
        <w:rPr>
          <w:lang w:eastAsia="x-none"/>
        </w:rPr>
        <w:t xml:space="preserve">. For the case </w:t>
      </w:r>
      <w:r>
        <w:rPr>
          <w:lang w:eastAsia="x-none"/>
        </w:rPr>
        <w:lastRenderedPageBreak/>
        <w:t xml:space="preserve">where we have 1 TRxP per cell site i.e., 12 TRxP deployment, we have </w:t>
      </w:r>
      <w:r w:rsidRPr="00326DB2">
        <w:rPr>
          <w:position w:val="-10"/>
          <w:lang w:eastAsia="x-none"/>
        </w:rPr>
        <w:object w:dxaOrig="1980" w:dyaOrig="360">
          <v:shape id="_x0000_i1064" type="#_x0000_t75" style="width:85pt;height:15pt" o:ole="">
            <v:imagedata r:id="rId81" o:title=""/>
          </v:shape>
          <o:OLEObject Type="Embed" ProgID="Equation.DSMT4" ShapeID="_x0000_i1064" DrawAspect="Content" ObjectID="_1595458050" r:id="rId82"/>
        </w:object>
      </w:r>
      <w:r>
        <w:rPr>
          <w:lang w:eastAsia="x-none"/>
        </w:rPr>
        <w:t xml:space="preserve"> and for the case of 3 TRxP per cell-site i.e., 36 TRxP deployment, we </w:t>
      </w:r>
      <w:proofErr w:type="gramStart"/>
      <w:r>
        <w:rPr>
          <w:lang w:eastAsia="x-none"/>
        </w:rPr>
        <w:t xml:space="preserve">have </w:t>
      </w:r>
      <w:proofErr w:type="gramEnd"/>
      <w:r w:rsidRPr="001364EC">
        <w:rPr>
          <w:position w:val="-10"/>
          <w:lang w:eastAsia="x-none"/>
        </w:rPr>
        <w:object w:dxaOrig="1980" w:dyaOrig="360">
          <v:shape id="_x0000_i1065" type="#_x0000_t75" style="width:86pt;height:15pt" o:ole="">
            <v:imagedata r:id="rId83" o:title=""/>
          </v:shape>
          <o:OLEObject Type="Embed" ProgID="Equation.DSMT4" ShapeID="_x0000_i1065" DrawAspect="Content" ObjectID="_1595458051" r:id="rId84"/>
        </w:object>
      </w:r>
      <w:r>
        <w:rPr>
          <w:lang w:eastAsia="x-none"/>
        </w:rPr>
        <w:t xml:space="preserve">. </w:t>
      </w:r>
    </w:p>
    <w:p w:rsidR="001034B1" w:rsidRDefault="001034B1" w:rsidP="001034B1">
      <w:pPr>
        <w:spacing w:before="240"/>
        <w:jc w:val="both"/>
        <w:rPr>
          <w:lang w:eastAsia="x-none"/>
        </w:rPr>
      </w:pPr>
      <w:r>
        <w:rPr>
          <w:lang w:eastAsia="x-none"/>
        </w:rPr>
        <w:t xml:space="preserve">Based on the corresponding values of </w:t>
      </w:r>
      <w:r w:rsidRPr="00F52AB1">
        <w:rPr>
          <w:position w:val="-14"/>
          <w:lang w:eastAsia="x-none"/>
        </w:rPr>
        <w:object w:dxaOrig="840" w:dyaOrig="380">
          <v:shape id="_x0000_i1066" type="#_x0000_t75" style="width:42pt;height:19pt" o:ole="">
            <v:imagedata r:id="rId85" o:title=""/>
          </v:shape>
          <o:OLEObject Type="Embed" ProgID="Equation.DSMT4" ShapeID="_x0000_i1066" DrawAspect="Content" ObjectID="_1595458052" r:id="rId86"/>
        </w:object>
      </w:r>
      <w:r>
        <w:rPr>
          <w:lang w:eastAsia="x-none"/>
        </w:rPr>
        <w:t xml:space="preserve"> for a deployment scenario, we adopt the following methodology to show that NR can meet the IMT-2020 minimum requirement of 10 Mbit/sec/m</w:t>
      </w:r>
      <w:r>
        <w:rPr>
          <w:vertAlign w:val="superscript"/>
          <w:lang w:eastAsia="x-none"/>
        </w:rPr>
        <w:t>2</w:t>
      </w:r>
      <w:r>
        <w:rPr>
          <w:lang w:eastAsia="x-none"/>
        </w:rPr>
        <w:t xml:space="preserve"> for downlink area traffic capacity:</w:t>
      </w:r>
    </w:p>
    <w:p w:rsidR="001034B1" w:rsidRDefault="001034B1" w:rsidP="001034B1">
      <w:pPr>
        <w:pStyle w:val="ListParagraph"/>
        <w:numPr>
          <w:ilvl w:val="0"/>
          <w:numId w:val="19"/>
        </w:numPr>
        <w:spacing w:before="240"/>
        <w:jc w:val="both"/>
        <w:rPr>
          <w:lang w:val="en-GB"/>
        </w:rPr>
      </w:pPr>
      <w:r w:rsidRPr="00F52AB1">
        <w:rPr>
          <w:lang w:val="en-GB"/>
        </w:rPr>
        <w:t xml:space="preserve">Run system level simulation with full-buffer traffic model </w:t>
      </w:r>
      <w:r>
        <w:rPr>
          <w:lang w:val="en-GB"/>
        </w:rPr>
        <w:t xml:space="preserve">for </w:t>
      </w:r>
      <w:r w:rsidRPr="00F52AB1">
        <w:rPr>
          <w:lang w:val="en-GB"/>
        </w:rPr>
        <w:t xml:space="preserve">IMT Indoor Hotspot eMBB Configurations A and B </w:t>
      </w:r>
      <w:r w:rsidRPr="00F52AB1">
        <w:rPr>
          <w:lang w:val="en-GB"/>
        </w:rPr>
        <w:fldChar w:fldCharType="begin"/>
      </w:r>
      <w:r w:rsidRPr="00F52AB1">
        <w:rPr>
          <w:lang w:val="en-GB"/>
        </w:rPr>
        <w:instrText xml:space="preserve"> REF _Ref521526118 \r \h </w:instrText>
      </w:r>
      <w:r w:rsidRPr="00F52AB1">
        <w:rPr>
          <w:lang w:val="en-GB"/>
        </w:rPr>
      </w:r>
      <w:r w:rsidRPr="00F52AB1">
        <w:rPr>
          <w:lang w:val="en-GB"/>
        </w:rPr>
        <w:fldChar w:fldCharType="separate"/>
      </w:r>
      <w:r w:rsidRPr="00F52AB1">
        <w:rPr>
          <w:lang w:val="en-GB"/>
        </w:rPr>
        <w:t>[3]</w:t>
      </w:r>
      <w:r w:rsidRPr="00F52AB1">
        <w:rPr>
          <w:lang w:val="en-GB"/>
        </w:rPr>
        <w:fldChar w:fldCharType="end"/>
      </w:r>
      <w:r w:rsidRPr="00F52AB1">
        <w:rPr>
          <w:lang w:val="en-GB"/>
        </w:rPr>
        <w:t xml:space="preserve"> to obtain the average </w:t>
      </w:r>
      <w:r>
        <w:rPr>
          <w:lang w:val="en-GB"/>
        </w:rPr>
        <w:t xml:space="preserve">downlink </w:t>
      </w:r>
      <w:r w:rsidRPr="00F52AB1">
        <w:rPr>
          <w:lang w:val="en-GB"/>
        </w:rPr>
        <w:t>cell spectral efficiency</w:t>
      </w:r>
      <w:r>
        <w:rPr>
          <w:rStyle w:val="FootnoteReference"/>
          <w:lang w:val="en-GB"/>
        </w:rPr>
        <w:footnoteReference w:id="1"/>
      </w:r>
      <w:r>
        <w:rPr>
          <w:lang w:val="en-GB"/>
        </w:rPr>
        <w:t>.</w:t>
      </w:r>
    </w:p>
    <w:p w:rsidR="001034B1" w:rsidRPr="00F52AB1" w:rsidRDefault="001034B1" w:rsidP="001034B1">
      <w:pPr>
        <w:pStyle w:val="ListParagraph"/>
        <w:numPr>
          <w:ilvl w:val="0"/>
          <w:numId w:val="19"/>
        </w:numPr>
        <w:jc w:val="both"/>
        <w:rPr>
          <w:lang w:val="en-GB"/>
        </w:rPr>
      </w:pPr>
      <w:r w:rsidRPr="00F52AB1">
        <w:rPr>
          <w:lang w:val="en-GB"/>
        </w:rPr>
        <w:t xml:space="preserve">Using the above formula with </w:t>
      </w:r>
      <w:r w:rsidRPr="007F0B7C">
        <w:rPr>
          <w:position w:val="-12"/>
          <w:lang w:val="en-GB"/>
        </w:rPr>
        <w:object w:dxaOrig="499" w:dyaOrig="360">
          <v:shape id="_x0000_i1067" type="#_x0000_t75" style="width:25pt;height:18pt" o:ole="">
            <v:imagedata r:id="rId87" o:title=""/>
          </v:shape>
          <o:OLEObject Type="Embed" ProgID="Equation.DSMT4" ShapeID="_x0000_i1067" DrawAspect="Content" ObjectID="_1595458053" r:id="rId88"/>
        </w:object>
      </w:r>
      <w:r>
        <w:rPr>
          <w:lang w:val="en-GB"/>
        </w:rPr>
        <w:t xml:space="preserve">set to the </w:t>
      </w:r>
      <w:r w:rsidRPr="00F52AB1">
        <w:rPr>
          <w:lang w:val="en-GB"/>
        </w:rPr>
        <w:t xml:space="preserve">target </w:t>
      </w:r>
      <w:r>
        <w:rPr>
          <w:lang w:val="en-GB"/>
        </w:rPr>
        <w:t>area traffic capacity</w:t>
      </w:r>
      <w:r w:rsidRPr="00F52AB1">
        <w:rPr>
          <w:lang w:val="en-GB"/>
        </w:rPr>
        <w:t>, evaluate the value of</w:t>
      </w:r>
      <w:r>
        <w:rPr>
          <w:lang w:val="en-GB"/>
        </w:rPr>
        <w:t xml:space="preserve"> bandwidth </w:t>
      </w:r>
      <w:r w:rsidRPr="00F52AB1">
        <w:rPr>
          <w:i/>
          <w:lang w:val="en-GB"/>
        </w:rPr>
        <w:t>W</w:t>
      </w:r>
      <w:r w:rsidRPr="00F52AB1">
        <w:rPr>
          <w:lang w:val="en-GB"/>
        </w:rPr>
        <w:t xml:space="preserve">, required to meet the target </w:t>
      </w:r>
      <w:r>
        <w:rPr>
          <w:lang w:val="en-GB"/>
        </w:rPr>
        <w:t>area traffic capacity</w:t>
      </w:r>
      <w:r w:rsidRPr="00F52AB1">
        <w:rPr>
          <w:lang w:val="en-GB"/>
        </w:rPr>
        <w:t xml:space="preserve">. </w:t>
      </w:r>
    </w:p>
    <w:p w:rsidR="001034B1" w:rsidRDefault="001034B1" w:rsidP="001034B1">
      <w:pPr>
        <w:pStyle w:val="ListParagraph"/>
        <w:numPr>
          <w:ilvl w:val="0"/>
          <w:numId w:val="19"/>
        </w:numPr>
        <w:jc w:val="both"/>
        <w:rPr>
          <w:lang w:val="en-GB"/>
        </w:rPr>
      </w:pPr>
      <w:r>
        <w:rPr>
          <w:lang w:val="en-GB"/>
        </w:rPr>
        <w:t xml:space="preserve">Use the supported bandwidth in NR to show that </w:t>
      </w:r>
      <w:r w:rsidRPr="00A67192">
        <w:rPr>
          <w:position w:val="-6"/>
          <w:lang w:val="en-GB"/>
        </w:rPr>
        <w:object w:dxaOrig="279" w:dyaOrig="279">
          <v:shape id="_x0000_i1068" type="#_x0000_t75" style="width:14.5pt;height:14.5pt" o:ole="">
            <v:imagedata r:id="rId89" o:title=""/>
          </v:shape>
          <o:OLEObject Type="Embed" ProgID="Equation.DSMT4" ShapeID="_x0000_i1068" DrawAspect="Content" ObjectID="_1595458054" r:id="rId90"/>
        </w:object>
      </w:r>
      <w:r>
        <w:rPr>
          <w:lang w:val="en-GB"/>
        </w:rPr>
        <w:t>can be supported as operating BW thereby meeting IMT-2020 the requirements.</w:t>
      </w:r>
    </w:p>
    <w:p w:rsidR="001034B1" w:rsidRDefault="001034B1" w:rsidP="001034B1">
      <w:pPr>
        <w:pStyle w:val="ListParagraph"/>
        <w:jc w:val="both"/>
        <w:rPr>
          <w:lang w:val="en-GB"/>
        </w:rPr>
      </w:pPr>
    </w:p>
    <w:p w:rsidR="00E026EC" w:rsidRDefault="001034B1" w:rsidP="00E026EC">
      <w:pPr>
        <w:jc w:val="both"/>
      </w:pPr>
      <w:r>
        <w:t xml:space="preserve">Based on the above methodology, detailed evaluation results are presented in our companion contribution </w:t>
      </w:r>
      <w:r>
        <w:fldChar w:fldCharType="begin"/>
      </w:r>
      <w:r>
        <w:instrText xml:space="preserve"> REF _Ref521704003 \r \h </w:instrText>
      </w:r>
      <w:r>
        <w:fldChar w:fldCharType="separate"/>
      </w:r>
      <w:r>
        <w:t>[14]</w:t>
      </w:r>
      <w:r>
        <w:fldChar w:fldCharType="end"/>
      </w:r>
      <w:r>
        <w:t>.</w:t>
      </w:r>
    </w:p>
    <w:p w:rsidR="00E026EC" w:rsidRDefault="001034B1" w:rsidP="001034B1">
      <w:pPr>
        <w:pStyle w:val="Heading1"/>
      </w:pPr>
      <w:r>
        <w:t xml:space="preserve">Evaluation </w:t>
      </w:r>
      <w:r w:rsidR="00EB66C2">
        <w:t>Methodology</w:t>
      </w:r>
      <w:r>
        <w:t xml:space="preserve"> for Simulation Based Metrics</w:t>
      </w:r>
    </w:p>
    <w:p w:rsidR="00EB66C2" w:rsidRPr="008E5BF8" w:rsidRDefault="00EB66C2" w:rsidP="00EB66C2">
      <w:pPr>
        <w:spacing w:before="240"/>
        <w:jc w:val="both"/>
      </w:pPr>
      <w:r w:rsidRPr="008E5BF8">
        <w:t>In this se</w:t>
      </w:r>
      <w:r>
        <w:t>ction, we discuss the evaluation methodologies for the simulation based metrics for IMT-2020 self-evaluation which falls within the scope of RAN1 namely, average and 5</w:t>
      </w:r>
      <w:r w:rsidRPr="00EB66C2">
        <w:rPr>
          <w:vertAlign w:val="superscript"/>
        </w:rPr>
        <w:t>th</w:t>
      </w:r>
      <w:r>
        <w:t xml:space="preserve"> percentile spectral efficiency, mobility, reliability and connection density. </w:t>
      </w:r>
    </w:p>
    <w:p w:rsidR="001034B1" w:rsidRPr="001034B1" w:rsidRDefault="001034B1" w:rsidP="001034B1">
      <w:pPr>
        <w:pStyle w:val="ListParagraph"/>
        <w:keepNext/>
        <w:widowControl w:val="0"/>
        <w:numPr>
          <w:ilvl w:val="0"/>
          <w:numId w:val="10"/>
        </w:numPr>
        <w:spacing w:before="240" w:after="60"/>
        <w:outlineLvl w:val="1"/>
        <w:rPr>
          <w:rFonts w:ascii="Arial" w:eastAsia="Batang" w:hAnsi="Arial"/>
          <w:bCs/>
          <w:iCs/>
          <w:vanish/>
          <w:sz w:val="24"/>
          <w:szCs w:val="28"/>
          <w:lang w:val="en-GB" w:eastAsia="x-none"/>
        </w:rPr>
      </w:pPr>
    </w:p>
    <w:p w:rsidR="001034B1" w:rsidRDefault="001034B1" w:rsidP="001034B1">
      <w:pPr>
        <w:pStyle w:val="Heading2"/>
        <w:ind w:left="720"/>
      </w:pPr>
      <w:r>
        <w:t>Average and 5</w:t>
      </w:r>
      <w:r w:rsidRPr="001034B1">
        <w:rPr>
          <w:vertAlign w:val="superscript"/>
        </w:rPr>
        <w:t>th</w:t>
      </w:r>
      <w:r>
        <w:t xml:space="preserve"> Percentile Spectral Efficiency of NR</w:t>
      </w:r>
    </w:p>
    <w:p w:rsidR="001034B1" w:rsidRDefault="001034B1" w:rsidP="001034B1">
      <w:pPr>
        <w:spacing w:before="240"/>
        <w:jc w:val="both"/>
        <w:rPr>
          <w:lang w:val="en-GB"/>
        </w:rPr>
      </w:pPr>
      <w:r>
        <w:rPr>
          <w:lang w:val="en-GB"/>
        </w:rPr>
        <w:t>In this section, we discuss the evaluation methodology for NR eMBB average cell spectral efficiency and 5</w:t>
      </w:r>
      <w:r w:rsidRPr="00C04AEB">
        <w:rPr>
          <w:vertAlign w:val="superscript"/>
          <w:lang w:val="en-GB"/>
        </w:rPr>
        <w:t>th</w:t>
      </w:r>
      <w:r>
        <w:rPr>
          <w:lang w:val="en-GB"/>
        </w:rPr>
        <w:t xml:space="preserve"> percentile spectral efficiency. System level simulation with full-buffer traffic model is used for these evaluations. According to </w:t>
      </w:r>
      <w:r>
        <w:rPr>
          <w:lang w:val="en-GB"/>
        </w:rPr>
        <w:fldChar w:fldCharType="begin"/>
      </w:r>
      <w:r>
        <w:rPr>
          <w:lang w:val="en-GB"/>
        </w:rPr>
        <w:instrText xml:space="preserve"> REF _Ref521072123 \r \h </w:instrText>
      </w:r>
      <w:r>
        <w:rPr>
          <w:lang w:val="en-GB"/>
        </w:rPr>
      </w:r>
      <w:r>
        <w:rPr>
          <w:lang w:val="en-GB"/>
        </w:rPr>
        <w:fldChar w:fldCharType="separate"/>
      </w:r>
      <w:r>
        <w:rPr>
          <w:lang w:val="en-GB"/>
        </w:rPr>
        <w:t>[3]</w:t>
      </w:r>
      <w:r>
        <w:rPr>
          <w:lang w:val="en-GB"/>
        </w:rPr>
        <w:fldChar w:fldCharType="end"/>
      </w:r>
      <w:r>
        <w:rPr>
          <w:lang w:val="en-GB"/>
        </w:rPr>
        <w:t>, the two metrics can be evaluated as follows.</w:t>
      </w:r>
    </w:p>
    <w:p w:rsidR="001034B1" w:rsidRDefault="001034B1" w:rsidP="001034B1"/>
    <w:p w:rsidR="001034B1" w:rsidRDefault="001034B1" w:rsidP="001034B1">
      <w:r w:rsidRPr="000D325C">
        <w:rPr>
          <w:b/>
          <w:i/>
        </w:rPr>
        <w:t>Average Spectral Efficiency</w:t>
      </w:r>
      <w:r w:rsidRPr="000D325C">
        <w:rPr>
          <w:i/>
        </w:rPr>
        <w:t xml:space="preserve">: </w:t>
      </w:r>
      <w:r>
        <w:rPr>
          <w:lang w:val="en-GB" w:eastAsia="x-none"/>
        </w:rPr>
        <w:t>For the case of average spectral efficiency, consider a system with</w:t>
      </w:r>
      <w:r w:rsidRPr="00AF2A67">
        <w:rPr>
          <w:position w:val="-6"/>
        </w:rPr>
        <w:object w:dxaOrig="279" w:dyaOrig="279">
          <v:shape id="_x0000_i1069" type="#_x0000_t75" style="width:14pt;height:14pt" o:ole="">
            <v:imagedata r:id="rId91" o:title=""/>
          </v:shape>
          <o:OLEObject Type="Embed" ProgID="Equation.DSMT4" ShapeID="_x0000_i1069" DrawAspect="Content" ObjectID="_1595458055" r:id="rId92"/>
        </w:object>
      </w:r>
      <w:r>
        <w:t xml:space="preserve">users and </w:t>
      </w:r>
      <w:r w:rsidRPr="00AF2A67">
        <w:rPr>
          <w:position w:val="-4"/>
        </w:rPr>
        <w:object w:dxaOrig="320" w:dyaOrig="260">
          <v:shape id="_x0000_i1070" type="#_x0000_t75" style="width:16pt;height:13pt" o:ole="">
            <v:imagedata r:id="rId93" o:title=""/>
          </v:shape>
          <o:OLEObject Type="Embed" ProgID="Equation.DSMT4" ShapeID="_x0000_i1070" DrawAspect="Content" ObjectID="_1595458056" r:id="rId94"/>
        </w:object>
      </w:r>
      <w:r>
        <w:t xml:space="preserve">TRxPs. If </w:t>
      </w:r>
      <w:r w:rsidRPr="00AF2A67">
        <w:rPr>
          <w:position w:val="-12"/>
        </w:rPr>
        <w:object w:dxaOrig="600" w:dyaOrig="360">
          <v:shape id="_x0000_i1071" type="#_x0000_t75" style="width:30pt;height:18pt" o:ole="">
            <v:imagedata r:id="rId95" o:title=""/>
          </v:shape>
          <o:OLEObject Type="Embed" ProgID="Equation.DSMT4" ShapeID="_x0000_i1071" DrawAspect="Content" ObjectID="_1595458057" r:id="rId96"/>
        </w:object>
      </w:r>
      <w:r>
        <w:t xml:space="preserve"> denotes the successfully received bits from user </w:t>
      </w:r>
      <w:r w:rsidRPr="00AF2A67">
        <w:rPr>
          <w:i/>
        </w:rPr>
        <w:t>i</w:t>
      </w:r>
      <w:r>
        <w:rPr>
          <w:i/>
        </w:rPr>
        <w:t xml:space="preserve"> </w:t>
      </w:r>
      <w:r>
        <w:t xml:space="preserve">uplink) or by user </w:t>
      </w:r>
      <w:r>
        <w:rPr>
          <w:i/>
        </w:rPr>
        <w:t>i</w:t>
      </w:r>
      <w:r>
        <w:t xml:space="preserve"> (downlink) over a bandwidth </w:t>
      </w:r>
      <w:r w:rsidRPr="00AF2A67">
        <w:rPr>
          <w:i/>
        </w:rPr>
        <w:t>W</w:t>
      </w:r>
      <w:r>
        <w:t xml:space="preserve"> and time </w:t>
      </w:r>
      <w:r w:rsidRPr="00AF2A67">
        <w:rPr>
          <w:i/>
        </w:rPr>
        <w:t>T</w:t>
      </w:r>
      <w:r>
        <w:t xml:space="preserve">, the average spectral efficiency of the system over </w:t>
      </w:r>
      <w:r w:rsidRPr="00AF2A67">
        <w:rPr>
          <w:position w:val="-14"/>
        </w:rPr>
        <w:object w:dxaOrig="580" w:dyaOrig="380">
          <v:shape id="_x0000_i1072" type="#_x0000_t75" style="width:29pt;height:19pt" o:ole="">
            <v:imagedata r:id="rId97" o:title=""/>
          </v:shape>
          <o:OLEObject Type="Embed" ProgID="Equation.DSMT4" ShapeID="_x0000_i1072" DrawAspect="Content" ObjectID="_1595458058" r:id="rId98"/>
        </w:object>
      </w:r>
      <w:r>
        <w:t xml:space="preserve"> number of drops is given by</w:t>
      </w:r>
    </w:p>
    <w:p w:rsidR="001034B1" w:rsidRDefault="001034B1" w:rsidP="001034B1">
      <w:pPr>
        <w:jc w:val="center"/>
      </w:pPr>
      <w:r w:rsidRPr="00AF2A67">
        <w:rPr>
          <w:position w:val="-32"/>
        </w:rPr>
        <w:object w:dxaOrig="2360" w:dyaOrig="1100">
          <v:shape id="_x0000_i1073" type="#_x0000_t75" style="width:118pt;height:55pt" o:ole="">
            <v:imagedata r:id="rId99" o:title=""/>
          </v:shape>
          <o:OLEObject Type="Embed" ProgID="Equation.DSMT4" ShapeID="_x0000_i1073" DrawAspect="Content" ObjectID="_1595458059" r:id="rId100"/>
        </w:object>
      </w:r>
      <w:r>
        <w:t>,</w:t>
      </w:r>
    </w:p>
    <w:p w:rsidR="001034B1" w:rsidRDefault="001034B1" w:rsidP="001034B1">
      <w:pPr>
        <w:jc w:val="both"/>
      </w:pPr>
      <w:proofErr w:type="gramStart"/>
      <w:r>
        <w:t>where</w:t>
      </w:r>
      <w:proofErr w:type="gramEnd"/>
      <w:r>
        <w:t xml:space="preserve"> </w:t>
      </w:r>
      <w:r w:rsidRPr="00AF2A67">
        <w:rPr>
          <w:position w:val="-12"/>
        </w:rPr>
        <w:object w:dxaOrig="780" w:dyaOrig="380">
          <v:shape id="_x0000_i1074" type="#_x0000_t75" style="width:39pt;height:19pt" o:ole="">
            <v:imagedata r:id="rId101" o:title=""/>
          </v:shape>
          <o:OLEObject Type="Embed" ProgID="Equation.DSMT4" ShapeID="_x0000_i1074" DrawAspect="Content" ObjectID="_1595458060" r:id="rId102"/>
        </w:object>
      </w:r>
      <w:r>
        <w:t xml:space="preserve"> denotes the successfully received bits by (from) user</w:t>
      </w:r>
      <w:r w:rsidRPr="00AF2A67">
        <w:rPr>
          <w:i/>
          <w:position w:val="-10"/>
        </w:rPr>
        <w:object w:dxaOrig="1420" w:dyaOrig="320">
          <v:shape id="_x0000_i1075" type="#_x0000_t75" style="width:71pt;height:16pt" o:ole="">
            <v:imagedata r:id="rId103" o:title=""/>
          </v:shape>
          <o:OLEObject Type="Embed" ProgID="Equation.DSMT4" ShapeID="_x0000_i1075" DrawAspect="Content" ObjectID="_1595458061" r:id="rId104"/>
        </w:object>
      </w:r>
      <w:r>
        <w:rPr>
          <w:i/>
        </w:rPr>
        <w:t xml:space="preserve"> </w:t>
      </w:r>
      <w:r>
        <w:t>from drop</w:t>
      </w:r>
      <w:r w:rsidRPr="00AF2A67">
        <w:rPr>
          <w:i/>
          <w:position w:val="-14"/>
        </w:rPr>
        <w:object w:dxaOrig="1820" w:dyaOrig="380">
          <v:shape id="_x0000_i1076" type="#_x0000_t75" style="width:91pt;height:19pt" o:ole="">
            <v:imagedata r:id="rId105" o:title=""/>
          </v:shape>
          <o:OLEObject Type="Embed" ProgID="Equation.DSMT4" ShapeID="_x0000_i1076" DrawAspect="Content" ObjectID="_1595458062" r:id="rId106"/>
        </w:object>
      </w:r>
      <w:r>
        <w:rPr>
          <w:i/>
        </w:rPr>
        <w:t>.</w:t>
      </w:r>
    </w:p>
    <w:p w:rsidR="001034B1" w:rsidRDefault="001034B1" w:rsidP="001034B1">
      <w:pPr>
        <w:jc w:val="both"/>
        <w:rPr>
          <w:i/>
        </w:rPr>
      </w:pPr>
    </w:p>
    <w:p w:rsidR="001034B1" w:rsidRDefault="001034B1" w:rsidP="001034B1">
      <w:pPr>
        <w:jc w:val="both"/>
        <w:rPr>
          <w:lang w:val="en-GB" w:eastAsia="x-none"/>
        </w:rPr>
      </w:pPr>
      <w:r w:rsidRPr="000D325C">
        <w:rPr>
          <w:b/>
          <w:i/>
        </w:rPr>
        <w:t>5</w:t>
      </w:r>
      <w:r w:rsidRPr="000D325C">
        <w:rPr>
          <w:b/>
          <w:i/>
          <w:vertAlign w:val="superscript"/>
        </w:rPr>
        <w:t>th</w:t>
      </w:r>
      <w:r w:rsidRPr="000D325C">
        <w:rPr>
          <w:b/>
          <w:i/>
        </w:rPr>
        <w:t xml:space="preserve"> Percentile Spectral Efficiency</w:t>
      </w:r>
      <w:r>
        <w:rPr>
          <w:i/>
        </w:rPr>
        <w:t xml:space="preserve">: </w:t>
      </w:r>
      <w:r>
        <w:rPr>
          <w:lang w:val="en-GB" w:eastAsia="x-none"/>
        </w:rPr>
        <w:t xml:space="preserve">Considering a similar system over </w:t>
      </w:r>
      <w:r w:rsidRPr="00491F84">
        <w:rPr>
          <w:position w:val="-14"/>
          <w:lang w:val="en-GB" w:eastAsia="x-none"/>
        </w:rPr>
        <w:object w:dxaOrig="1820" w:dyaOrig="380">
          <v:shape id="_x0000_i1077" type="#_x0000_t75" style="width:91pt;height:19pt" o:ole="">
            <v:imagedata r:id="rId107" o:title=""/>
          </v:shape>
          <o:OLEObject Type="Embed" ProgID="Equation.DSMT4" ShapeID="_x0000_i1077" DrawAspect="Content" ObjectID="_1595458063" r:id="rId108"/>
        </w:object>
      </w:r>
      <w:r>
        <w:rPr>
          <w:lang w:val="en-GB" w:eastAsia="x-none"/>
        </w:rPr>
        <w:t xml:space="preserve"> number of drops, the spectral efficiency of </w:t>
      </w:r>
      <w:proofErr w:type="gramStart"/>
      <w:r>
        <w:rPr>
          <w:lang w:val="en-GB" w:eastAsia="x-none"/>
        </w:rPr>
        <w:t xml:space="preserve">the </w:t>
      </w:r>
      <w:r>
        <w:rPr>
          <w:i/>
          <w:lang w:val="en-GB" w:eastAsia="x-none"/>
        </w:rPr>
        <w:t>i</w:t>
      </w:r>
      <w:proofErr w:type="gramEnd"/>
      <w:r>
        <w:rPr>
          <w:i/>
          <w:lang w:val="en-GB" w:eastAsia="x-none"/>
        </w:rPr>
        <w:t>-th</w:t>
      </w:r>
      <w:r>
        <w:rPr>
          <w:lang w:val="en-GB" w:eastAsia="x-none"/>
        </w:rPr>
        <w:t xml:space="preserve"> user is denoted by:</w:t>
      </w:r>
    </w:p>
    <w:p w:rsidR="001034B1" w:rsidRDefault="001034B1" w:rsidP="001034B1">
      <w:pPr>
        <w:jc w:val="center"/>
        <w:rPr>
          <w:lang w:val="en-GB" w:eastAsia="x-none"/>
        </w:rPr>
      </w:pPr>
      <w:r w:rsidRPr="00491F84">
        <w:rPr>
          <w:position w:val="-24"/>
          <w:lang w:val="en-GB" w:eastAsia="x-none"/>
        </w:rPr>
        <w:object w:dxaOrig="1260" w:dyaOrig="660">
          <v:shape id="_x0000_i1078" type="#_x0000_t75" style="width:63.5pt;height:33.5pt" o:ole="">
            <v:imagedata r:id="rId109" o:title=""/>
          </v:shape>
          <o:OLEObject Type="Embed" ProgID="Equation.DSMT4" ShapeID="_x0000_i1078" DrawAspect="Content" ObjectID="_1595458064" r:id="rId110"/>
        </w:object>
      </w:r>
      <w:r>
        <w:rPr>
          <w:lang w:val="en-GB" w:eastAsia="x-none"/>
        </w:rPr>
        <w:t>.</w:t>
      </w:r>
    </w:p>
    <w:p w:rsidR="001034B1" w:rsidRPr="00491F84" w:rsidRDefault="001034B1" w:rsidP="001034B1">
      <w:pPr>
        <w:jc w:val="both"/>
        <w:rPr>
          <w:lang w:val="en-GB" w:eastAsia="x-none"/>
        </w:rPr>
      </w:pPr>
      <w:r>
        <w:rPr>
          <w:lang w:val="en-GB" w:eastAsia="x-none"/>
        </w:rPr>
        <w:t xml:space="preserve">Running the system level simulation over the multiple drops yields </w:t>
      </w:r>
      <w:r w:rsidRPr="00491F84">
        <w:rPr>
          <w:position w:val="-14"/>
          <w:lang w:val="en-GB" w:eastAsia="x-none"/>
        </w:rPr>
        <w:object w:dxaOrig="980" w:dyaOrig="380">
          <v:shape id="_x0000_i1079" type="#_x0000_t75" style="width:49pt;height:19pt" o:ole="">
            <v:imagedata r:id="rId111" o:title=""/>
          </v:shape>
          <o:OLEObject Type="Embed" ProgID="Equation.DSMT4" ShapeID="_x0000_i1079" DrawAspect="Content" ObjectID="_1595458065" r:id="rId112"/>
        </w:object>
      </w:r>
      <w:r>
        <w:rPr>
          <w:lang w:val="en-GB" w:eastAsia="x-none"/>
        </w:rPr>
        <w:t xml:space="preserve"> number of data points and the 5</w:t>
      </w:r>
      <w:r w:rsidRPr="00491F84">
        <w:rPr>
          <w:vertAlign w:val="superscript"/>
          <w:lang w:val="en-GB" w:eastAsia="x-none"/>
        </w:rPr>
        <w:t>th</w:t>
      </w:r>
      <w:r>
        <w:rPr>
          <w:lang w:val="en-GB" w:eastAsia="x-none"/>
        </w:rPr>
        <w:t xml:space="preserve"> percentile spectral efficiency is evaluated as the lowest 5</w:t>
      </w:r>
      <w:r w:rsidRPr="00491F84">
        <w:rPr>
          <w:vertAlign w:val="superscript"/>
          <w:lang w:val="en-GB" w:eastAsia="x-none"/>
        </w:rPr>
        <w:t>th</w:t>
      </w:r>
      <w:r>
        <w:rPr>
          <w:lang w:val="en-GB" w:eastAsia="x-none"/>
        </w:rPr>
        <w:t xml:space="preserve"> percentile point of the CDF of these data points.</w:t>
      </w:r>
    </w:p>
    <w:p w:rsidR="001034B1" w:rsidRDefault="001034B1" w:rsidP="001034B1">
      <w:pPr>
        <w:rPr>
          <w:lang w:val="en-GB"/>
        </w:rPr>
      </w:pPr>
    </w:p>
    <w:p w:rsidR="001034B1" w:rsidRDefault="001034B1" w:rsidP="001034B1">
      <w:pPr>
        <w:jc w:val="both"/>
        <w:rPr>
          <w:lang w:val="en-GB"/>
        </w:rPr>
      </w:pPr>
      <w:r>
        <w:rPr>
          <w:lang w:val="en-GB"/>
        </w:rPr>
        <w:t xml:space="preserve">Based on the above definitions and using the simulation methodology for the different eMBB test environments outlined in </w:t>
      </w:r>
      <w:r>
        <w:rPr>
          <w:lang w:val="en-GB"/>
        </w:rPr>
        <w:fldChar w:fldCharType="begin"/>
      </w:r>
      <w:r>
        <w:rPr>
          <w:lang w:val="en-GB"/>
        </w:rPr>
        <w:instrText xml:space="preserve"> REF _Ref521072123 \r \h </w:instrText>
      </w:r>
      <w:r>
        <w:rPr>
          <w:lang w:val="en-GB"/>
        </w:rPr>
      </w:r>
      <w:r>
        <w:rPr>
          <w:lang w:val="en-GB"/>
        </w:rPr>
        <w:fldChar w:fldCharType="separate"/>
      </w:r>
      <w:r>
        <w:rPr>
          <w:lang w:val="en-GB"/>
        </w:rPr>
        <w:t>[3]</w:t>
      </w:r>
      <w:r>
        <w:rPr>
          <w:lang w:val="en-GB"/>
        </w:rPr>
        <w:fldChar w:fldCharType="end"/>
      </w:r>
      <w:r>
        <w:rPr>
          <w:lang w:val="en-GB"/>
        </w:rPr>
        <w:t xml:space="preserve">, we present extensive simulation results in our companion contribution </w:t>
      </w:r>
      <w:r>
        <w:rPr>
          <w:lang w:val="en-GB"/>
        </w:rPr>
        <w:fldChar w:fldCharType="begin"/>
      </w:r>
      <w:r>
        <w:rPr>
          <w:lang w:val="en-GB"/>
        </w:rPr>
        <w:instrText xml:space="preserve"> REF _Ref521703956 \r \h </w:instrText>
      </w:r>
      <w:r>
        <w:rPr>
          <w:lang w:val="en-GB"/>
        </w:rPr>
      </w:r>
      <w:r>
        <w:rPr>
          <w:lang w:val="en-GB"/>
        </w:rPr>
        <w:fldChar w:fldCharType="separate"/>
      </w:r>
      <w:r>
        <w:rPr>
          <w:lang w:val="en-GB"/>
        </w:rPr>
        <w:t>[12]</w:t>
      </w:r>
      <w:r>
        <w:rPr>
          <w:lang w:val="en-GB"/>
        </w:rPr>
        <w:fldChar w:fldCharType="end"/>
      </w:r>
      <w:r>
        <w:rPr>
          <w:lang w:val="en-GB"/>
        </w:rPr>
        <w:t xml:space="preserve"> to show that NR can meet the IMT-2020 </w:t>
      </w:r>
      <w:r>
        <w:rPr>
          <w:lang w:val="en-GB"/>
        </w:rPr>
        <w:lastRenderedPageBreak/>
        <w:t>requirements for all test environments in su</w:t>
      </w:r>
      <w:r w:rsidR="00B93E32">
        <w:rPr>
          <w:lang w:val="en-GB"/>
        </w:rPr>
        <w:t>b-6GHz. For the case of mmWave</w:t>
      </w:r>
      <w:r>
        <w:rPr>
          <w:lang w:val="en-GB"/>
        </w:rPr>
        <w:t xml:space="preserve">, it </w:t>
      </w:r>
      <w:r w:rsidR="00B93E32">
        <w:rPr>
          <w:lang w:val="en-GB"/>
        </w:rPr>
        <w:t xml:space="preserve">is </w:t>
      </w:r>
      <w:r>
        <w:rPr>
          <w:lang w:val="en-GB"/>
        </w:rPr>
        <w:t xml:space="preserve">shown that Indoor Hotspot eMBB (Configuration B in </w:t>
      </w:r>
      <w:r>
        <w:rPr>
          <w:lang w:val="en-GB"/>
        </w:rPr>
        <w:fldChar w:fldCharType="begin"/>
      </w:r>
      <w:r>
        <w:rPr>
          <w:lang w:val="en-GB"/>
        </w:rPr>
        <w:instrText xml:space="preserve"> REF _Ref521072123 \r \h </w:instrText>
      </w:r>
      <w:r>
        <w:rPr>
          <w:lang w:val="en-GB"/>
        </w:rPr>
      </w:r>
      <w:r>
        <w:rPr>
          <w:lang w:val="en-GB"/>
        </w:rPr>
        <w:fldChar w:fldCharType="separate"/>
      </w:r>
      <w:r>
        <w:rPr>
          <w:lang w:val="en-GB"/>
        </w:rPr>
        <w:t>[3]</w:t>
      </w:r>
      <w:r>
        <w:rPr>
          <w:lang w:val="en-GB"/>
        </w:rPr>
        <w:fldChar w:fldCharType="end"/>
      </w:r>
      <w:r>
        <w:rPr>
          <w:lang w:val="en-GB"/>
        </w:rPr>
        <w:t xml:space="preserve">) meets requirements for both downlink and uplink. </w:t>
      </w:r>
    </w:p>
    <w:p w:rsidR="001034B1" w:rsidRDefault="001034B1" w:rsidP="001034B1">
      <w:pPr>
        <w:jc w:val="both"/>
        <w:rPr>
          <w:lang w:val="en-GB"/>
        </w:rPr>
      </w:pPr>
    </w:p>
    <w:p w:rsidR="001034B1" w:rsidRPr="0041040B" w:rsidRDefault="001034B1" w:rsidP="001034B1">
      <w:pPr>
        <w:jc w:val="both"/>
        <w:rPr>
          <w:lang w:eastAsia="x-none"/>
        </w:rPr>
      </w:pPr>
      <w:r>
        <w:rPr>
          <w:lang w:val="en-GB"/>
        </w:rPr>
        <w:t>The evaluations for spectral efficiency should account for L1 and L2 overhead. The system level overhead assumptions for FR1 and FR2 are provided</w:t>
      </w:r>
      <w:r w:rsidR="00B93E32">
        <w:rPr>
          <w:lang w:val="en-GB"/>
        </w:rPr>
        <w:t xml:space="preserve"> in the worksheet attached in </w:t>
      </w:r>
      <w:r w:rsidR="00B93E32">
        <w:rPr>
          <w:lang w:val="en-GB"/>
        </w:rPr>
        <w:fldChar w:fldCharType="begin"/>
      </w:r>
      <w:r w:rsidR="00B93E32">
        <w:rPr>
          <w:lang w:val="en-GB"/>
        </w:rPr>
        <w:instrText xml:space="preserve"> REF _Ref521704601 \r \h </w:instrText>
      </w:r>
      <w:r w:rsidR="00B93E32">
        <w:rPr>
          <w:lang w:val="en-GB"/>
        </w:rPr>
      </w:r>
      <w:r w:rsidR="00B93E32">
        <w:rPr>
          <w:lang w:val="en-GB"/>
        </w:rPr>
        <w:fldChar w:fldCharType="separate"/>
      </w:r>
      <w:r w:rsidR="00B93E32">
        <w:rPr>
          <w:lang w:val="en-GB"/>
        </w:rPr>
        <w:t>[16]</w:t>
      </w:r>
      <w:r w:rsidR="00B93E32">
        <w:rPr>
          <w:lang w:val="en-GB"/>
        </w:rPr>
        <w:fldChar w:fldCharType="end"/>
      </w:r>
      <w:r>
        <w:rPr>
          <w:lang w:val="en-GB"/>
        </w:rPr>
        <w:t xml:space="preserve">, while the detailed system level simulation assumptions are provided in Appendices </w:t>
      </w:r>
      <w:r>
        <w:rPr>
          <w:lang w:val="en-GB"/>
        </w:rPr>
        <w:fldChar w:fldCharType="begin"/>
      </w:r>
      <w:r>
        <w:rPr>
          <w:lang w:val="en-GB"/>
        </w:rPr>
        <w:instrText xml:space="preserve"> REF _Ref521352770 \r \h </w:instrText>
      </w:r>
      <w:r>
        <w:rPr>
          <w:lang w:val="en-GB"/>
        </w:rPr>
      </w:r>
      <w:r>
        <w:rPr>
          <w:lang w:val="en-GB"/>
        </w:rPr>
        <w:fldChar w:fldCharType="separate"/>
      </w:r>
      <w:r>
        <w:rPr>
          <w:lang w:val="en-GB"/>
        </w:rPr>
        <w:t>7.2</w:t>
      </w:r>
      <w:r>
        <w:rPr>
          <w:lang w:val="en-GB"/>
        </w:rPr>
        <w:fldChar w:fldCharType="end"/>
      </w:r>
      <w:r>
        <w:rPr>
          <w:lang w:val="en-GB"/>
        </w:rPr>
        <w:t xml:space="preserve"> and </w:t>
      </w:r>
      <w:r>
        <w:rPr>
          <w:lang w:val="en-GB"/>
        </w:rPr>
        <w:fldChar w:fldCharType="begin"/>
      </w:r>
      <w:r>
        <w:rPr>
          <w:lang w:val="en-GB"/>
        </w:rPr>
        <w:instrText xml:space="preserve"> REF _Ref521352773 \r \h </w:instrText>
      </w:r>
      <w:r>
        <w:rPr>
          <w:lang w:val="en-GB"/>
        </w:rPr>
      </w:r>
      <w:r>
        <w:rPr>
          <w:lang w:val="en-GB"/>
        </w:rPr>
        <w:fldChar w:fldCharType="separate"/>
      </w:r>
      <w:r>
        <w:rPr>
          <w:lang w:val="en-GB"/>
        </w:rPr>
        <w:t>7.3</w:t>
      </w:r>
      <w:r>
        <w:rPr>
          <w:lang w:val="en-GB"/>
        </w:rPr>
        <w:fldChar w:fldCharType="end"/>
      </w:r>
      <w:r>
        <w:rPr>
          <w:lang w:val="en-GB"/>
        </w:rPr>
        <w:t xml:space="preserve"> </w:t>
      </w:r>
      <w:r w:rsidR="00B93E32">
        <w:rPr>
          <w:lang w:val="en-GB"/>
        </w:rPr>
        <w:t xml:space="preserve">of our companion contribution </w:t>
      </w:r>
      <w:r w:rsidR="00B93E32">
        <w:rPr>
          <w:lang w:val="en-GB"/>
        </w:rPr>
        <w:fldChar w:fldCharType="begin"/>
      </w:r>
      <w:r w:rsidR="00B93E32">
        <w:rPr>
          <w:lang w:val="en-GB"/>
        </w:rPr>
        <w:instrText xml:space="preserve"> REF _Ref521703956 \r \h </w:instrText>
      </w:r>
      <w:r w:rsidR="00B93E32">
        <w:rPr>
          <w:lang w:val="en-GB"/>
        </w:rPr>
      </w:r>
      <w:r w:rsidR="00B93E32">
        <w:rPr>
          <w:lang w:val="en-GB"/>
        </w:rPr>
        <w:fldChar w:fldCharType="separate"/>
      </w:r>
      <w:r w:rsidR="00B93E32">
        <w:rPr>
          <w:lang w:val="en-GB"/>
        </w:rPr>
        <w:t>[12]</w:t>
      </w:r>
      <w:r w:rsidR="00B93E32">
        <w:rPr>
          <w:lang w:val="en-GB"/>
        </w:rPr>
        <w:fldChar w:fldCharType="end"/>
      </w:r>
      <w:r>
        <w:rPr>
          <w:lang w:val="en-GB"/>
        </w:rPr>
        <w:t xml:space="preserve">. </w:t>
      </w:r>
    </w:p>
    <w:p w:rsidR="001034B1" w:rsidRPr="001034B1" w:rsidRDefault="001034B1" w:rsidP="001034B1">
      <w:pPr>
        <w:rPr>
          <w:lang w:val="en-GB" w:eastAsia="x-none"/>
        </w:rPr>
      </w:pPr>
    </w:p>
    <w:p w:rsidR="001034B1" w:rsidRDefault="00B93E32" w:rsidP="00B93E32">
      <w:pPr>
        <w:pStyle w:val="Heading2"/>
        <w:ind w:left="0" w:firstLine="0"/>
      </w:pPr>
      <w:r>
        <w:t>Mobility</w:t>
      </w:r>
    </w:p>
    <w:p w:rsidR="00B93E32" w:rsidRDefault="00B93E32" w:rsidP="00B93E32">
      <w:pPr>
        <w:spacing w:before="240"/>
        <w:jc w:val="both"/>
        <w:rPr>
          <w:lang w:val="en-GB"/>
        </w:rPr>
      </w:pPr>
      <w:r>
        <w:rPr>
          <w:lang w:val="en-GB"/>
        </w:rPr>
        <w:t xml:space="preserve">Mobility is evaluated for high mobility users for the test environments of Indoor Hotspot (10 km/hr), Dense Urban macro (30 km/hr) in frequency range 1 with carrier frequency 4 GHz as well as frequency range 2 with a carrier frequency of 30 GHz </w:t>
      </w:r>
      <w:r>
        <w:rPr>
          <w:lang w:val="en-GB"/>
        </w:rPr>
        <w:fldChar w:fldCharType="begin"/>
      </w:r>
      <w:r>
        <w:rPr>
          <w:lang w:val="en-GB"/>
        </w:rPr>
        <w:instrText xml:space="preserve"> REF _Ref521704785 \r \h </w:instrText>
      </w:r>
      <w:r>
        <w:rPr>
          <w:lang w:val="en-GB"/>
        </w:rPr>
      </w:r>
      <w:r>
        <w:rPr>
          <w:lang w:val="en-GB"/>
        </w:rPr>
        <w:fldChar w:fldCharType="separate"/>
      </w:r>
      <w:r>
        <w:rPr>
          <w:lang w:val="en-GB"/>
        </w:rPr>
        <w:t>[5]</w:t>
      </w:r>
      <w:r>
        <w:rPr>
          <w:lang w:val="en-GB"/>
        </w:rPr>
        <w:fldChar w:fldCharType="end"/>
      </w:r>
      <w:r>
        <w:rPr>
          <w:lang w:val="en-GB"/>
        </w:rPr>
        <w:fldChar w:fldCharType="begin"/>
      </w:r>
      <w:r>
        <w:rPr>
          <w:lang w:val="en-GB"/>
        </w:rPr>
        <w:instrText xml:space="preserve"> REF _Ref521704791 \r \h </w:instrText>
      </w:r>
      <w:r>
        <w:rPr>
          <w:lang w:val="en-GB"/>
        </w:rPr>
      </w:r>
      <w:r>
        <w:rPr>
          <w:lang w:val="en-GB"/>
        </w:rPr>
        <w:fldChar w:fldCharType="separate"/>
      </w:r>
      <w:r>
        <w:rPr>
          <w:lang w:val="en-GB"/>
        </w:rPr>
        <w:t>[6]</w:t>
      </w:r>
      <w:r>
        <w:rPr>
          <w:lang w:val="en-GB"/>
        </w:rPr>
        <w:fldChar w:fldCharType="end"/>
      </w:r>
      <w:r>
        <w:rPr>
          <w:lang w:val="en-GB"/>
        </w:rPr>
        <w:t xml:space="preserve">; and for Rural macro (120 km/hr, 500 km/hr) for frequency range 1 with carrier frequencies of 700 MHz and 4 GHz as outlined in the IMT-2020 evaluation guidelines in </w:t>
      </w:r>
      <w:r>
        <w:rPr>
          <w:lang w:val="en-GB"/>
        </w:rPr>
        <w:fldChar w:fldCharType="begin"/>
      </w:r>
      <w:r>
        <w:rPr>
          <w:lang w:val="en-GB"/>
        </w:rPr>
        <w:instrText xml:space="preserve"> REF _Ref521444234 \r \h </w:instrText>
      </w:r>
      <w:r>
        <w:rPr>
          <w:lang w:val="en-GB"/>
        </w:rPr>
      </w:r>
      <w:r>
        <w:rPr>
          <w:lang w:val="en-GB"/>
        </w:rPr>
        <w:fldChar w:fldCharType="separate"/>
      </w:r>
      <w:r>
        <w:rPr>
          <w:lang w:val="en-GB"/>
        </w:rPr>
        <w:t>[3]</w:t>
      </w:r>
      <w:r>
        <w:rPr>
          <w:lang w:val="en-GB"/>
        </w:rPr>
        <w:fldChar w:fldCharType="end"/>
      </w:r>
      <w:r>
        <w:rPr>
          <w:lang w:val="en-GB"/>
        </w:rPr>
        <w:t>. The evaluation follows a combined system level and link level methodology, wherein the system level simulation with full-buffer traffic assumptions are used to determine the SINR distribution for each test environment and this, in turn, is used to run the link level simulator to determine the normalized link rate (bit/sec/Hz) at a target BLER of 1%. The IMT-2020 minimum requirements for mobility are as follows:</w:t>
      </w:r>
    </w:p>
    <w:p w:rsidR="00B93E32" w:rsidRPr="005E2857" w:rsidRDefault="00B93E32" w:rsidP="00B93E32">
      <w:pPr>
        <w:pStyle w:val="Caption"/>
        <w:keepNext/>
        <w:spacing w:before="240"/>
        <w:jc w:val="center"/>
        <w:rPr>
          <w:rFonts w:ascii="Arial" w:hAnsi="Arial" w:cs="Arial"/>
          <w:b/>
          <w:i w:val="0"/>
          <w:color w:val="000000" w:themeColor="text1"/>
          <w:sz w:val="20"/>
        </w:rPr>
      </w:pPr>
      <w:bookmarkStart w:id="6" w:name="_Ref521445888"/>
      <w:r w:rsidRPr="005E2857">
        <w:rPr>
          <w:rFonts w:ascii="Arial" w:hAnsi="Arial" w:cs="Arial"/>
          <w:b/>
          <w:i w:val="0"/>
          <w:color w:val="000000" w:themeColor="text1"/>
          <w:sz w:val="20"/>
        </w:rPr>
        <w:t xml:space="preserve">Table </w:t>
      </w:r>
      <w:r>
        <w:rPr>
          <w:rFonts w:ascii="Arial" w:hAnsi="Arial" w:cs="Arial"/>
          <w:b/>
          <w:i w:val="0"/>
          <w:color w:val="000000" w:themeColor="text1"/>
          <w:sz w:val="20"/>
        </w:rPr>
        <w:fldChar w:fldCharType="begin"/>
      </w:r>
      <w:r>
        <w:rPr>
          <w:rFonts w:ascii="Arial" w:hAnsi="Arial" w:cs="Arial"/>
          <w:b/>
          <w:i w:val="0"/>
          <w:color w:val="000000" w:themeColor="text1"/>
          <w:sz w:val="20"/>
        </w:rPr>
        <w:instrText xml:space="preserve"> SEQ Table \* ARABIC </w:instrText>
      </w:r>
      <w:r>
        <w:rPr>
          <w:rFonts w:ascii="Arial" w:hAnsi="Arial" w:cs="Arial"/>
          <w:b/>
          <w:i w:val="0"/>
          <w:color w:val="000000" w:themeColor="text1"/>
          <w:sz w:val="20"/>
        </w:rPr>
        <w:fldChar w:fldCharType="separate"/>
      </w:r>
      <w:r>
        <w:rPr>
          <w:rFonts w:ascii="Arial" w:hAnsi="Arial" w:cs="Arial"/>
          <w:b/>
          <w:i w:val="0"/>
          <w:noProof/>
          <w:color w:val="000000" w:themeColor="text1"/>
          <w:sz w:val="20"/>
        </w:rPr>
        <w:t>5</w:t>
      </w:r>
      <w:r>
        <w:rPr>
          <w:rFonts w:ascii="Arial" w:hAnsi="Arial" w:cs="Arial"/>
          <w:b/>
          <w:i w:val="0"/>
          <w:color w:val="000000" w:themeColor="text1"/>
          <w:sz w:val="20"/>
        </w:rPr>
        <w:fldChar w:fldCharType="end"/>
      </w:r>
      <w:bookmarkEnd w:id="6"/>
      <w:r w:rsidRPr="005E2857">
        <w:rPr>
          <w:rFonts w:ascii="Arial" w:hAnsi="Arial" w:cs="Arial"/>
          <w:b/>
          <w:i w:val="0"/>
          <w:color w:val="000000" w:themeColor="text1"/>
          <w:sz w:val="20"/>
        </w:rPr>
        <w:t>: IMT-2020 Requirements for Mobility</w:t>
      </w:r>
    </w:p>
    <w:tbl>
      <w:tblPr>
        <w:tblStyle w:val="TableGrid"/>
        <w:tblW w:w="0" w:type="auto"/>
        <w:jc w:val="center"/>
        <w:tblLook w:val="01E0" w:firstRow="1" w:lastRow="1" w:firstColumn="1" w:lastColumn="1" w:noHBand="0" w:noVBand="0"/>
      </w:tblPr>
      <w:tblGrid>
        <w:gridCol w:w="2166"/>
        <w:gridCol w:w="2717"/>
        <w:gridCol w:w="972"/>
      </w:tblGrid>
      <w:tr w:rsidR="00B93E32" w:rsidRPr="0024720E" w:rsidTr="00BE55BD">
        <w:trPr>
          <w:jc w:val="center"/>
        </w:trPr>
        <w:tc>
          <w:tcPr>
            <w:tcW w:w="0" w:type="auto"/>
            <w:tcBorders>
              <w:top w:val="single" w:sz="4" w:space="0" w:color="auto"/>
              <w:left w:val="single" w:sz="4" w:space="0" w:color="auto"/>
              <w:bottom w:val="single" w:sz="4" w:space="0" w:color="auto"/>
              <w:right w:val="single" w:sz="4" w:space="0" w:color="auto"/>
            </w:tcBorders>
          </w:tcPr>
          <w:p w:rsidR="00B93E32" w:rsidRPr="005E2857" w:rsidRDefault="00B93E32" w:rsidP="00BE55BD">
            <w:pPr>
              <w:pStyle w:val="Tablehead"/>
              <w:keepLines/>
              <w:spacing w:before="120" w:after="0"/>
              <w:rPr>
                <w:rFonts w:ascii="Arial" w:hAnsi="Arial" w:cs="Arial"/>
                <w:sz w:val="20"/>
              </w:rPr>
            </w:pPr>
            <w:r w:rsidRPr="005E2857">
              <w:rPr>
                <w:rFonts w:ascii="Arial" w:hAnsi="Arial" w:cs="Arial"/>
                <w:sz w:val="20"/>
              </w:rPr>
              <w:t xml:space="preserve">Test </w:t>
            </w:r>
            <w:r>
              <w:rPr>
                <w:rFonts w:ascii="Arial" w:hAnsi="Arial" w:cs="Arial"/>
                <w:sz w:val="20"/>
              </w:rPr>
              <w:t>E</w:t>
            </w:r>
            <w:r w:rsidRPr="005E2857">
              <w:rPr>
                <w:rFonts w:ascii="Arial" w:hAnsi="Arial" w:cs="Arial"/>
                <w:sz w:val="20"/>
              </w:rPr>
              <w:t>nvironnent</w:t>
            </w:r>
          </w:p>
        </w:tc>
        <w:tc>
          <w:tcPr>
            <w:tcW w:w="0" w:type="auto"/>
            <w:tcBorders>
              <w:top w:val="single" w:sz="4" w:space="0" w:color="auto"/>
              <w:left w:val="single" w:sz="4" w:space="0" w:color="auto"/>
              <w:bottom w:val="single" w:sz="4" w:space="0" w:color="auto"/>
              <w:right w:val="single" w:sz="4" w:space="0" w:color="auto"/>
            </w:tcBorders>
            <w:hideMark/>
          </w:tcPr>
          <w:p w:rsidR="00B93E32" w:rsidRPr="005E2857" w:rsidRDefault="00B93E32" w:rsidP="00BE55BD">
            <w:pPr>
              <w:pStyle w:val="Tablehead"/>
              <w:keepLines/>
              <w:spacing w:before="0" w:after="0"/>
              <w:rPr>
                <w:rFonts w:ascii="Arial" w:hAnsi="Arial" w:cs="Arial"/>
                <w:sz w:val="20"/>
                <w:lang w:val="en-GB"/>
              </w:rPr>
            </w:pPr>
            <w:r w:rsidRPr="005E2857">
              <w:rPr>
                <w:rFonts w:ascii="Arial" w:hAnsi="Arial" w:cs="Arial"/>
                <w:sz w:val="20"/>
                <w:lang w:val="en-GB"/>
              </w:rPr>
              <w:t xml:space="preserve">Normalized traffic channel </w:t>
            </w:r>
          </w:p>
          <w:p w:rsidR="00B93E32" w:rsidRPr="005E2857" w:rsidRDefault="00B93E32" w:rsidP="00BE55BD">
            <w:pPr>
              <w:pStyle w:val="Tablehead"/>
              <w:keepLines/>
              <w:spacing w:before="0" w:after="0"/>
              <w:rPr>
                <w:rFonts w:ascii="Arial" w:hAnsi="Arial" w:cs="Arial"/>
                <w:sz w:val="20"/>
                <w:lang w:val="en-GB"/>
              </w:rPr>
            </w:pPr>
            <w:r w:rsidRPr="005E2857">
              <w:rPr>
                <w:rFonts w:ascii="Arial" w:hAnsi="Arial" w:cs="Arial"/>
                <w:sz w:val="20"/>
                <w:lang w:val="en-GB"/>
              </w:rPr>
              <w:t>link data rate (bit/s/Hz)</w:t>
            </w:r>
          </w:p>
        </w:tc>
        <w:tc>
          <w:tcPr>
            <w:tcW w:w="0" w:type="auto"/>
            <w:tcBorders>
              <w:top w:val="single" w:sz="4" w:space="0" w:color="auto"/>
              <w:left w:val="single" w:sz="4" w:space="0" w:color="auto"/>
              <w:bottom w:val="single" w:sz="4" w:space="0" w:color="auto"/>
              <w:right w:val="single" w:sz="4" w:space="0" w:color="auto"/>
            </w:tcBorders>
            <w:hideMark/>
          </w:tcPr>
          <w:p w:rsidR="00B93E32" w:rsidRPr="005E2857" w:rsidRDefault="00B93E32" w:rsidP="00BE55BD">
            <w:pPr>
              <w:pStyle w:val="Tablehead"/>
              <w:keepLines/>
              <w:spacing w:before="120" w:after="0"/>
              <w:rPr>
                <w:rFonts w:ascii="Arial" w:hAnsi="Arial" w:cs="Arial"/>
                <w:sz w:val="20"/>
              </w:rPr>
            </w:pPr>
            <w:r w:rsidRPr="005E2857">
              <w:rPr>
                <w:rFonts w:ascii="Arial" w:hAnsi="Arial" w:cs="Arial"/>
                <w:sz w:val="20"/>
              </w:rPr>
              <w:t xml:space="preserve">Mobility </w:t>
            </w:r>
            <w:r w:rsidRPr="005E2857">
              <w:rPr>
                <w:rFonts w:ascii="Arial" w:hAnsi="Arial" w:cs="Arial"/>
                <w:sz w:val="20"/>
              </w:rPr>
              <w:br/>
              <w:t>(km/h)</w:t>
            </w:r>
          </w:p>
        </w:tc>
      </w:tr>
      <w:tr w:rsidR="00B93E32" w:rsidRPr="0024720E" w:rsidTr="00BE55BD">
        <w:trPr>
          <w:jc w:val="center"/>
        </w:trPr>
        <w:tc>
          <w:tcPr>
            <w:tcW w:w="0" w:type="auto"/>
            <w:tcBorders>
              <w:top w:val="single" w:sz="4" w:space="0" w:color="auto"/>
              <w:left w:val="single" w:sz="4" w:space="0" w:color="auto"/>
              <w:bottom w:val="single" w:sz="4" w:space="0" w:color="auto"/>
              <w:right w:val="single" w:sz="4" w:space="0" w:color="auto"/>
            </w:tcBorders>
            <w:hideMark/>
          </w:tcPr>
          <w:p w:rsidR="00B93E32" w:rsidRPr="005E2857" w:rsidRDefault="00B93E32" w:rsidP="00BE55BD">
            <w:pPr>
              <w:pStyle w:val="Tabletext"/>
              <w:keepNext/>
              <w:keepLines/>
              <w:rPr>
                <w:rFonts w:asciiTheme="majorBidi" w:hAnsiTheme="majorBidi" w:cstheme="majorBidi"/>
                <w:sz w:val="20"/>
              </w:rPr>
            </w:pPr>
            <w:r w:rsidRPr="005E2857">
              <w:rPr>
                <w:rFonts w:asciiTheme="majorBidi" w:hAnsiTheme="majorBidi" w:cstheme="majorBidi"/>
                <w:sz w:val="20"/>
              </w:rPr>
              <w:t>Indoor Hotspot – eMBB</w:t>
            </w:r>
          </w:p>
        </w:tc>
        <w:tc>
          <w:tcPr>
            <w:tcW w:w="0" w:type="auto"/>
            <w:tcBorders>
              <w:top w:val="single" w:sz="4" w:space="0" w:color="auto"/>
              <w:left w:val="single" w:sz="4" w:space="0" w:color="auto"/>
              <w:bottom w:val="single" w:sz="4" w:space="0" w:color="auto"/>
              <w:right w:val="single" w:sz="4" w:space="0" w:color="auto"/>
            </w:tcBorders>
          </w:tcPr>
          <w:p w:rsidR="00B93E32" w:rsidRPr="005E2857" w:rsidRDefault="00B93E32" w:rsidP="00BE55BD">
            <w:pPr>
              <w:pStyle w:val="Tabletext"/>
              <w:keepNext/>
              <w:keepLines/>
              <w:jc w:val="center"/>
              <w:rPr>
                <w:rFonts w:asciiTheme="majorBidi" w:hAnsiTheme="majorBidi" w:cstheme="majorBidi"/>
                <w:sz w:val="20"/>
              </w:rPr>
            </w:pPr>
            <w:r w:rsidRPr="005E2857">
              <w:rPr>
                <w:rFonts w:asciiTheme="majorBidi" w:hAnsiTheme="majorBidi" w:cstheme="majorBidi"/>
                <w:sz w:val="20"/>
              </w:rPr>
              <w:t>1.5</w:t>
            </w:r>
          </w:p>
        </w:tc>
        <w:tc>
          <w:tcPr>
            <w:tcW w:w="0" w:type="auto"/>
            <w:tcBorders>
              <w:top w:val="single" w:sz="4" w:space="0" w:color="auto"/>
              <w:left w:val="single" w:sz="4" w:space="0" w:color="auto"/>
              <w:bottom w:val="single" w:sz="4" w:space="0" w:color="auto"/>
              <w:right w:val="single" w:sz="4" w:space="0" w:color="auto"/>
            </w:tcBorders>
            <w:hideMark/>
          </w:tcPr>
          <w:p w:rsidR="00B93E32" w:rsidRPr="005E2857" w:rsidRDefault="00B93E32" w:rsidP="00BE55BD">
            <w:pPr>
              <w:pStyle w:val="Tabletext"/>
              <w:keepNext/>
              <w:keepLines/>
              <w:jc w:val="center"/>
              <w:rPr>
                <w:rFonts w:asciiTheme="majorBidi" w:hAnsiTheme="majorBidi" w:cstheme="majorBidi"/>
                <w:sz w:val="20"/>
              </w:rPr>
            </w:pPr>
            <w:r w:rsidRPr="005E2857">
              <w:rPr>
                <w:rFonts w:asciiTheme="majorBidi" w:hAnsiTheme="majorBidi" w:cstheme="majorBidi"/>
                <w:sz w:val="20"/>
              </w:rPr>
              <w:t>10</w:t>
            </w:r>
          </w:p>
        </w:tc>
      </w:tr>
      <w:tr w:rsidR="00B93E32" w:rsidRPr="0024720E" w:rsidTr="00BE55BD">
        <w:trPr>
          <w:jc w:val="center"/>
        </w:trPr>
        <w:tc>
          <w:tcPr>
            <w:tcW w:w="0" w:type="auto"/>
            <w:tcBorders>
              <w:top w:val="single" w:sz="4" w:space="0" w:color="auto"/>
              <w:left w:val="single" w:sz="4" w:space="0" w:color="auto"/>
              <w:bottom w:val="single" w:sz="4" w:space="0" w:color="auto"/>
              <w:right w:val="single" w:sz="4" w:space="0" w:color="auto"/>
            </w:tcBorders>
            <w:hideMark/>
          </w:tcPr>
          <w:p w:rsidR="00B93E32" w:rsidRPr="005E2857" w:rsidRDefault="00B93E32" w:rsidP="00BE55BD">
            <w:pPr>
              <w:pStyle w:val="Tabletext"/>
              <w:keepNext/>
              <w:keepLines/>
              <w:rPr>
                <w:rFonts w:asciiTheme="majorBidi" w:hAnsiTheme="majorBidi" w:cstheme="majorBidi"/>
                <w:sz w:val="20"/>
              </w:rPr>
            </w:pPr>
            <w:r w:rsidRPr="005E2857">
              <w:rPr>
                <w:rFonts w:asciiTheme="majorBidi" w:hAnsiTheme="majorBidi" w:cstheme="majorBidi"/>
                <w:sz w:val="20"/>
              </w:rPr>
              <w:t>Dense Urban – eMBB</w:t>
            </w:r>
          </w:p>
        </w:tc>
        <w:tc>
          <w:tcPr>
            <w:tcW w:w="0" w:type="auto"/>
            <w:tcBorders>
              <w:top w:val="single" w:sz="4" w:space="0" w:color="auto"/>
              <w:left w:val="single" w:sz="4" w:space="0" w:color="auto"/>
              <w:bottom w:val="single" w:sz="4" w:space="0" w:color="auto"/>
              <w:right w:val="single" w:sz="4" w:space="0" w:color="auto"/>
            </w:tcBorders>
          </w:tcPr>
          <w:p w:rsidR="00B93E32" w:rsidRPr="005E2857" w:rsidRDefault="00B93E32" w:rsidP="00BE55BD">
            <w:pPr>
              <w:pStyle w:val="Tabletext"/>
              <w:keepNext/>
              <w:keepLines/>
              <w:jc w:val="center"/>
              <w:rPr>
                <w:rFonts w:asciiTheme="majorBidi" w:hAnsiTheme="majorBidi" w:cstheme="majorBidi"/>
                <w:sz w:val="20"/>
              </w:rPr>
            </w:pPr>
            <w:r w:rsidRPr="005E2857">
              <w:rPr>
                <w:rFonts w:asciiTheme="majorBidi" w:hAnsiTheme="majorBidi" w:cstheme="majorBidi"/>
                <w:sz w:val="20"/>
              </w:rPr>
              <w:t>1.12</w:t>
            </w:r>
          </w:p>
        </w:tc>
        <w:tc>
          <w:tcPr>
            <w:tcW w:w="0" w:type="auto"/>
            <w:tcBorders>
              <w:top w:val="single" w:sz="4" w:space="0" w:color="auto"/>
              <w:left w:val="single" w:sz="4" w:space="0" w:color="auto"/>
              <w:bottom w:val="single" w:sz="4" w:space="0" w:color="auto"/>
              <w:right w:val="single" w:sz="4" w:space="0" w:color="auto"/>
            </w:tcBorders>
            <w:hideMark/>
          </w:tcPr>
          <w:p w:rsidR="00B93E32" w:rsidRPr="005E2857" w:rsidRDefault="00B93E32" w:rsidP="00BE55BD">
            <w:pPr>
              <w:pStyle w:val="Tabletext"/>
              <w:keepNext/>
              <w:keepLines/>
              <w:jc w:val="center"/>
              <w:rPr>
                <w:rFonts w:asciiTheme="majorBidi" w:hAnsiTheme="majorBidi" w:cstheme="majorBidi"/>
                <w:sz w:val="20"/>
              </w:rPr>
            </w:pPr>
            <w:r w:rsidRPr="005E2857">
              <w:rPr>
                <w:rFonts w:asciiTheme="majorBidi" w:hAnsiTheme="majorBidi" w:cstheme="majorBidi"/>
                <w:sz w:val="20"/>
              </w:rPr>
              <w:t>30</w:t>
            </w:r>
          </w:p>
        </w:tc>
      </w:tr>
      <w:tr w:rsidR="00B93E32" w:rsidRPr="0024720E" w:rsidTr="00BE55BD">
        <w:trPr>
          <w:jc w:val="center"/>
        </w:trPr>
        <w:tc>
          <w:tcPr>
            <w:tcW w:w="0" w:type="auto"/>
            <w:vMerge w:val="restart"/>
            <w:tcBorders>
              <w:top w:val="single" w:sz="4" w:space="0" w:color="auto"/>
              <w:left w:val="single" w:sz="4" w:space="0" w:color="auto"/>
              <w:right w:val="single" w:sz="4" w:space="0" w:color="auto"/>
            </w:tcBorders>
            <w:hideMark/>
          </w:tcPr>
          <w:p w:rsidR="00B93E32" w:rsidRPr="005E2857" w:rsidRDefault="00B93E32" w:rsidP="00BE55BD">
            <w:pPr>
              <w:pStyle w:val="Tabletext"/>
              <w:keepNext/>
              <w:keepLines/>
              <w:rPr>
                <w:rFonts w:asciiTheme="majorBidi" w:hAnsiTheme="majorBidi" w:cstheme="majorBidi"/>
                <w:sz w:val="20"/>
              </w:rPr>
            </w:pPr>
            <w:r w:rsidRPr="005E2857">
              <w:rPr>
                <w:rFonts w:asciiTheme="majorBidi" w:hAnsiTheme="majorBidi" w:cstheme="majorBidi"/>
                <w:sz w:val="20"/>
              </w:rPr>
              <w:t>Rural – eMBB</w:t>
            </w:r>
          </w:p>
        </w:tc>
        <w:tc>
          <w:tcPr>
            <w:tcW w:w="0" w:type="auto"/>
            <w:tcBorders>
              <w:top w:val="single" w:sz="4" w:space="0" w:color="auto"/>
              <w:left w:val="single" w:sz="4" w:space="0" w:color="auto"/>
              <w:bottom w:val="single" w:sz="4" w:space="0" w:color="auto"/>
              <w:right w:val="single" w:sz="4" w:space="0" w:color="auto"/>
            </w:tcBorders>
          </w:tcPr>
          <w:p w:rsidR="00B93E32" w:rsidRPr="005E2857" w:rsidRDefault="00B93E32" w:rsidP="00BE55BD">
            <w:pPr>
              <w:pStyle w:val="Tabletext"/>
              <w:keepNext/>
              <w:keepLines/>
              <w:jc w:val="center"/>
              <w:rPr>
                <w:rFonts w:asciiTheme="majorBidi" w:hAnsiTheme="majorBidi" w:cstheme="majorBidi"/>
                <w:sz w:val="20"/>
              </w:rPr>
            </w:pPr>
            <w:r w:rsidRPr="005E2857">
              <w:rPr>
                <w:rFonts w:asciiTheme="majorBidi" w:hAnsiTheme="majorBidi" w:cstheme="majorBidi"/>
                <w:sz w:val="20"/>
              </w:rPr>
              <w:t>0.8</w:t>
            </w:r>
          </w:p>
        </w:tc>
        <w:tc>
          <w:tcPr>
            <w:tcW w:w="0" w:type="auto"/>
            <w:tcBorders>
              <w:top w:val="single" w:sz="4" w:space="0" w:color="auto"/>
              <w:left w:val="single" w:sz="4" w:space="0" w:color="auto"/>
              <w:bottom w:val="single" w:sz="4" w:space="0" w:color="auto"/>
              <w:right w:val="single" w:sz="4" w:space="0" w:color="auto"/>
            </w:tcBorders>
            <w:hideMark/>
          </w:tcPr>
          <w:p w:rsidR="00B93E32" w:rsidRPr="005E2857" w:rsidRDefault="00B93E32" w:rsidP="00BE55BD">
            <w:pPr>
              <w:pStyle w:val="Tabletext"/>
              <w:keepNext/>
              <w:keepLines/>
              <w:jc w:val="center"/>
              <w:rPr>
                <w:rFonts w:asciiTheme="majorBidi" w:hAnsiTheme="majorBidi" w:cstheme="majorBidi"/>
                <w:sz w:val="20"/>
              </w:rPr>
            </w:pPr>
            <w:r w:rsidRPr="005E2857">
              <w:rPr>
                <w:rFonts w:asciiTheme="majorBidi" w:hAnsiTheme="majorBidi" w:cstheme="majorBidi"/>
                <w:sz w:val="20"/>
              </w:rPr>
              <w:t>120</w:t>
            </w:r>
          </w:p>
        </w:tc>
      </w:tr>
      <w:tr w:rsidR="00B93E32" w:rsidRPr="0024720E" w:rsidTr="00BE55BD">
        <w:trPr>
          <w:jc w:val="center"/>
        </w:trPr>
        <w:tc>
          <w:tcPr>
            <w:tcW w:w="0" w:type="auto"/>
            <w:vMerge/>
            <w:tcBorders>
              <w:left w:val="single" w:sz="4" w:space="0" w:color="auto"/>
              <w:bottom w:val="single" w:sz="4" w:space="0" w:color="auto"/>
              <w:right w:val="single" w:sz="4" w:space="0" w:color="auto"/>
            </w:tcBorders>
            <w:hideMark/>
          </w:tcPr>
          <w:p w:rsidR="00B93E32" w:rsidRPr="005E2857" w:rsidRDefault="00B93E32" w:rsidP="00BE55BD">
            <w:pPr>
              <w:pStyle w:val="Tabletext"/>
              <w:keepNext/>
              <w:keepLines/>
              <w:rPr>
                <w:rFonts w:asciiTheme="majorBidi" w:hAnsiTheme="majorBidi" w:cstheme="majorBidi"/>
                <w:sz w:val="20"/>
              </w:rPr>
            </w:pPr>
          </w:p>
        </w:tc>
        <w:tc>
          <w:tcPr>
            <w:tcW w:w="0" w:type="auto"/>
            <w:tcBorders>
              <w:top w:val="single" w:sz="4" w:space="0" w:color="auto"/>
              <w:left w:val="single" w:sz="4" w:space="0" w:color="auto"/>
              <w:bottom w:val="single" w:sz="4" w:space="0" w:color="auto"/>
              <w:right w:val="single" w:sz="4" w:space="0" w:color="auto"/>
            </w:tcBorders>
          </w:tcPr>
          <w:p w:rsidR="00B93E32" w:rsidRPr="005E2857" w:rsidRDefault="00B93E32" w:rsidP="00BE55BD">
            <w:pPr>
              <w:pStyle w:val="Tabletext"/>
              <w:keepNext/>
              <w:keepLines/>
              <w:jc w:val="center"/>
              <w:rPr>
                <w:rFonts w:asciiTheme="majorBidi" w:hAnsiTheme="majorBidi" w:cstheme="majorBidi"/>
                <w:sz w:val="20"/>
              </w:rPr>
            </w:pPr>
            <w:r w:rsidRPr="005E2857">
              <w:rPr>
                <w:rFonts w:asciiTheme="majorBidi" w:hAnsiTheme="majorBidi" w:cstheme="majorBidi"/>
                <w:sz w:val="20"/>
              </w:rPr>
              <w:t>0.45</w:t>
            </w:r>
          </w:p>
        </w:tc>
        <w:tc>
          <w:tcPr>
            <w:tcW w:w="0" w:type="auto"/>
            <w:tcBorders>
              <w:top w:val="single" w:sz="4" w:space="0" w:color="auto"/>
              <w:left w:val="single" w:sz="4" w:space="0" w:color="auto"/>
              <w:bottom w:val="single" w:sz="4" w:space="0" w:color="auto"/>
              <w:right w:val="single" w:sz="4" w:space="0" w:color="auto"/>
            </w:tcBorders>
            <w:hideMark/>
          </w:tcPr>
          <w:p w:rsidR="00B93E32" w:rsidRPr="005E2857" w:rsidRDefault="00B93E32" w:rsidP="00BE55BD">
            <w:pPr>
              <w:pStyle w:val="Tabletext"/>
              <w:keepNext/>
              <w:keepLines/>
              <w:jc w:val="center"/>
              <w:rPr>
                <w:rFonts w:asciiTheme="majorBidi" w:hAnsiTheme="majorBidi" w:cstheme="majorBidi"/>
                <w:sz w:val="20"/>
              </w:rPr>
            </w:pPr>
            <w:r w:rsidRPr="005E2857">
              <w:rPr>
                <w:rFonts w:asciiTheme="majorBidi" w:hAnsiTheme="majorBidi" w:cstheme="majorBidi"/>
                <w:sz w:val="20"/>
              </w:rPr>
              <w:t>500</w:t>
            </w:r>
          </w:p>
        </w:tc>
      </w:tr>
    </w:tbl>
    <w:p w:rsidR="00B93E32" w:rsidRDefault="00B93E32" w:rsidP="00B93E32">
      <w:pPr>
        <w:spacing w:before="240"/>
        <w:jc w:val="both"/>
        <w:rPr>
          <w:lang w:val="en-GB"/>
        </w:rPr>
      </w:pPr>
      <w:r>
        <w:rPr>
          <w:lang w:val="en-GB"/>
        </w:rPr>
        <w:t xml:space="preserve">Based on the above requirements, the detailed steps for self-evaluation are as follows </w:t>
      </w:r>
      <w:r>
        <w:rPr>
          <w:lang w:val="en-GB"/>
        </w:rPr>
        <w:fldChar w:fldCharType="begin"/>
      </w:r>
      <w:r>
        <w:rPr>
          <w:lang w:val="en-GB"/>
        </w:rPr>
        <w:instrText xml:space="preserve"> REF _Ref521444234 \r \h </w:instrText>
      </w:r>
      <w:r>
        <w:rPr>
          <w:lang w:val="en-GB"/>
        </w:rPr>
      </w:r>
      <w:r>
        <w:rPr>
          <w:lang w:val="en-GB"/>
        </w:rPr>
        <w:fldChar w:fldCharType="separate"/>
      </w:r>
      <w:r>
        <w:rPr>
          <w:lang w:val="en-GB"/>
        </w:rPr>
        <w:t>[3]</w:t>
      </w:r>
      <w:r>
        <w:rPr>
          <w:lang w:val="en-GB"/>
        </w:rPr>
        <w:fldChar w:fldCharType="end"/>
      </w:r>
      <w:r>
        <w:rPr>
          <w:lang w:val="en-GB"/>
        </w:rPr>
        <w:t>:</w:t>
      </w:r>
    </w:p>
    <w:p w:rsidR="00B93E32" w:rsidRPr="00EF5072" w:rsidRDefault="00B93E32" w:rsidP="00B93E32">
      <w:pPr>
        <w:pStyle w:val="enumlev1"/>
        <w:rPr>
          <w:sz w:val="20"/>
          <w:lang w:val="en-GB"/>
        </w:rPr>
      </w:pPr>
      <w:r w:rsidRPr="00EF5072">
        <w:rPr>
          <w:i/>
          <w:sz w:val="20"/>
          <w:lang w:val="en-GB"/>
        </w:rPr>
        <w:t>Step 1:</w:t>
      </w:r>
      <w:r w:rsidRPr="00EF5072">
        <w:rPr>
          <w:sz w:val="20"/>
          <w:lang w:val="en-GB"/>
        </w:rPr>
        <w:t xml:space="preserve"> </w:t>
      </w:r>
      <w:r w:rsidRPr="00EF5072">
        <w:rPr>
          <w:sz w:val="20"/>
          <w:lang w:val="en-GB"/>
        </w:rPr>
        <w:tab/>
      </w:r>
      <w:r w:rsidRPr="00EF5072">
        <w:rPr>
          <w:sz w:val="20"/>
          <w:lang w:val="en-GB" w:eastAsia="ja-JP"/>
        </w:rPr>
        <w:t>Run</w:t>
      </w:r>
      <w:r w:rsidRPr="00EF5072">
        <w:rPr>
          <w:sz w:val="20"/>
          <w:lang w:val="en-GB"/>
        </w:rPr>
        <w:t xml:space="preserve"> uplink system-level simulations, identical to those for average spectral efficiency, and 5</w:t>
      </w:r>
      <w:r w:rsidRPr="00EF5072">
        <w:rPr>
          <w:sz w:val="20"/>
          <w:vertAlign w:val="superscript"/>
          <w:lang w:val="en-GB"/>
        </w:rPr>
        <w:t>th</w:t>
      </w:r>
      <w:r w:rsidRPr="00EF5072">
        <w:rPr>
          <w:sz w:val="20"/>
          <w:lang w:val="en-GB"/>
        </w:rPr>
        <w:t xml:space="preserve"> percentile user spectral efficiency except for speeds taken from</w:t>
      </w:r>
      <w:r>
        <w:rPr>
          <w:sz w:val="20"/>
          <w:lang w:val="en-GB"/>
        </w:rPr>
        <w:t xml:space="preserve"> </w:t>
      </w:r>
      <w:r w:rsidRPr="005E2857">
        <w:rPr>
          <w:sz w:val="20"/>
          <w:lang w:val="en-GB"/>
        </w:rPr>
        <w:fldChar w:fldCharType="begin"/>
      </w:r>
      <w:r w:rsidRPr="005E2857">
        <w:rPr>
          <w:sz w:val="20"/>
          <w:lang w:val="en-GB"/>
        </w:rPr>
        <w:instrText xml:space="preserve"> REF _Ref521445888 \h  \* MERGEFORMAT </w:instrText>
      </w:r>
      <w:r w:rsidRPr="005E2857">
        <w:rPr>
          <w:sz w:val="20"/>
          <w:lang w:val="en-GB"/>
        </w:rPr>
      </w:r>
      <w:r w:rsidRPr="005E2857">
        <w:rPr>
          <w:sz w:val="20"/>
          <w:lang w:val="en-GB"/>
        </w:rPr>
        <w:fldChar w:fldCharType="separate"/>
      </w:r>
      <w:r w:rsidRPr="00384E52">
        <w:rPr>
          <w:color w:val="000000" w:themeColor="text1"/>
          <w:sz w:val="20"/>
        </w:rPr>
        <w:t xml:space="preserve">Table </w:t>
      </w:r>
      <w:r w:rsidRPr="00384E52">
        <w:rPr>
          <w:noProof/>
          <w:color w:val="000000" w:themeColor="text1"/>
          <w:sz w:val="20"/>
        </w:rPr>
        <w:t>1</w:t>
      </w:r>
      <w:r w:rsidRPr="005E2857">
        <w:rPr>
          <w:sz w:val="20"/>
          <w:lang w:val="en-GB"/>
        </w:rPr>
        <w:fldChar w:fldCharType="end"/>
      </w:r>
      <w:r w:rsidRPr="005E2857">
        <w:rPr>
          <w:sz w:val="20"/>
          <w:lang w:val="en-GB"/>
        </w:rPr>
        <w:t>,</w:t>
      </w:r>
      <w:r w:rsidRPr="00EF5072">
        <w:rPr>
          <w:sz w:val="20"/>
          <w:lang w:val="en-GB"/>
        </w:rPr>
        <w:t xml:space="preserve"> using link</w:t>
      </w:r>
      <w:r w:rsidRPr="00EF5072">
        <w:rPr>
          <w:rFonts w:eastAsia="MS Mincho"/>
          <w:sz w:val="20"/>
          <w:lang w:val="en-GB" w:eastAsia="ja-JP"/>
        </w:rPr>
        <w:t>-</w:t>
      </w:r>
      <w:r w:rsidRPr="00EF5072">
        <w:rPr>
          <w:sz w:val="20"/>
          <w:lang w:val="en-GB"/>
        </w:rPr>
        <w:t xml:space="preserve">level simulations and a link-to-system interface appropriate for these speed values, for the set of selected test environment(s) associated with the candidate RITs/SRITs and collect overall statistics for uplink </w:t>
      </w:r>
      <w:r w:rsidRPr="00EF5072">
        <w:rPr>
          <w:i/>
          <w:sz w:val="20"/>
          <w:lang w:val="en-GB"/>
        </w:rPr>
        <w:t>SINR</w:t>
      </w:r>
      <w:r w:rsidRPr="00EF5072">
        <w:rPr>
          <w:sz w:val="20"/>
          <w:lang w:val="en-GB"/>
        </w:rPr>
        <w:t xml:space="preserve"> values, and construct CDF over these values for each test environment.</w:t>
      </w:r>
    </w:p>
    <w:p w:rsidR="00B93E32" w:rsidRPr="00EF5072" w:rsidRDefault="00B93E32" w:rsidP="00B93E32">
      <w:pPr>
        <w:pStyle w:val="enumlev1"/>
        <w:rPr>
          <w:sz w:val="20"/>
          <w:lang w:val="en-GB"/>
        </w:rPr>
      </w:pPr>
      <w:r w:rsidRPr="00EF5072">
        <w:rPr>
          <w:i/>
          <w:sz w:val="20"/>
          <w:lang w:val="en-GB"/>
        </w:rPr>
        <w:t>Step 2:</w:t>
      </w:r>
      <w:r w:rsidRPr="00EF5072">
        <w:rPr>
          <w:sz w:val="20"/>
          <w:lang w:val="en-GB"/>
        </w:rPr>
        <w:tab/>
        <w:t>Use the CDF for the test environment(s) to save the respective 50</w:t>
      </w:r>
      <w:r w:rsidRPr="00EF5072">
        <w:rPr>
          <w:sz w:val="20"/>
          <w:vertAlign w:val="superscript"/>
          <w:lang w:val="en-GB"/>
        </w:rPr>
        <w:t>th</w:t>
      </w:r>
      <w:r w:rsidRPr="00EF5072">
        <w:rPr>
          <w:sz w:val="20"/>
          <w:lang w:val="en-GB"/>
        </w:rPr>
        <w:t xml:space="preserve">-percentile </w:t>
      </w:r>
      <w:r w:rsidRPr="00EF5072">
        <w:rPr>
          <w:i/>
          <w:sz w:val="20"/>
          <w:lang w:val="en-GB"/>
        </w:rPr>
        <w:t>SINR</w:t>
      </w:r>
      <w:r w:rsidRPr="00EF5072">
        <w:rPr>
          <w:sz w:val="20"/>
          <w:lang w:val="en-GB"/>
        </w:rPr>
        <w:t xml:space="preserve"> value.</w:t>
      </w:r>
    </w:p>
    <w:p w:rsidR="00B93E32" w:rsidRPr="00EF5072" w:rsidRDefault="00B93E32" w:rsidP="00B93E32">
      <w:pPr>
        <w:pStyle w:val="enumlev1"/>
        <w:rPr>
          <w:sz w:val="20"/>
          <w:lang w:val="en-GB"/>
        </w:rPr>
      </w:pPr>
      <w:r w:rsidRPr="00EF5072">
        <w:rPr>
          <w:i/>
          <w:sz w:val="20"/>
          <w:lang w:val="en-GB"/>
        </w:rPr>
        <w:t>Step 3:</w:t>
      </w:r>
      <w:r w:rsidRPr="00EF5072">
        <w:rPr>
          <w:sz w:val="20"/>
          <w:lang w:val="en-GB"/>
        </w:rPr>
        <w:t xml:space="preserve"> </w:t>
      </w:r>
      <w:r w:rsidRPr="00EF5072">
        <w:rPr>
          <w:sz w:val="20"/>
          <w:lang w:val="en-GB"/>
        </w:rPr>
        <w:tab/>
        <w:t>Run new uplink link</w:t>
      </w:r>
      <w:r w:rsidRPr="00EF5072">
        <w:rPr>
          <w:rFonts w:eastAsia="MS Mincho"/>
          <w:sz w:val="20"/>
          <w:lang w:val="en-GB"/>
        </w:rPr>
        <w:t>-</w:t>
      </w:r>
      <w:r w:rsidRPr="00EF5072">
        <w:rPr>
          <w:sz w:val="20"/>
          <w:lang w:val="en-GB"/>
        </w:rPr>
        <w:t xml:space="preserve">level simulations for the selected test environment(s) for either NLOS or LOS channel conditions using the associated speeds in </w:t>
      </w:r>
      <w:r w:rsidRPr="005E2857">
        <w:rPr>
          <w:sz w:val="20"/>
          <w:lang w:val="en-GB"/>
        </w:rPr>
        <w:fldChar w:fldCharType="begin"/>
      </w:r>
      <w:r w:rsidRPr="005E2857">
        <w:rPr>
          <w:sz w:val="20"/>
          <w:lang w:val="en-GB"/>
        </w:rPr>
        <w:instrText xml:space="preserve"> REF _Ref521445888 \h  \* MERGEFORMAT </w:instrText>
      </w:r>
      <w:r w:rsidRPr="005E2857">
        <w:rPr>
          <w:sz w:val="20"/>
          <w:lang w:val="en-GB"/>
        </w:rPr>
      </w:r>
      <w:r w:rsidRPr="005E2857">
        <w:rPr>
          <w:sz w:val="20"/>
          <w:lang w:val="en-GB"/>
        </w:rPr>
        <w:fldChar w:fldCharType="separate"/>
      </w:r>
      <w:r w:rsidRPr="00384E52">
        <w:rPr>
          <w:color w:val="000000" w:themeColor="text1"/>
          <w:sz w:val="20"/>
        </w:rPr>
        <w:t xml:space="preserve">Table </w:t>
      </w:r>
      <w:r w:rsidRPr="00384E52">
        <w:rPr>
          <w:noProof/>
          <w:color w:val="000000" w:themeColor="text1"/>
          <w:sz w:val="20"/>
        </w:rPr>
        <w:t>1</w:t>
      </w:r>
      <w:r w:rsidRPr="005E2857">
        <w:rPr>
          <w:sz w:val="20"/>
          <w:lang w:val="en-GB"/>
        </w:rPr>
        <w:fldChar w:fldCharType="end"/>
      </w:r>
      <w:r w:rsidRPr="00EF5072">
        <w:rPr>
          <w:sz w:val="20"/>
          <w:lang w:val="en-GB"/>
        </w:rPr>
        <w:t xml:space="preserve">, as input parameters, to obtain link data rate and residual packet error ratio as a function of </w:t>
      </w:r>
      <w:r w:rsidRPr="00EF5072">
        <w:rPr>
          <w:i/>
          <w:iCs/>
          <w:sz w:val="20"/>
          <w:lang w:val="en-GB"/>
        </w:rPr>
        <w:t>SINR</w:t>
      </w:r>
      <w:r w:rsidRPr="00EF5072">
        <w:rPr>
          <w:sz w:val="20"/>
          <w:lang w:val="en-GB"/>
        </w:rPr>
        <w:t>. The link-level simulation shall use air interface configuration(s) supported by the proposal and take into account retransmission, channel estimation and phase noise impact.</w:t>
      </w:r>
    </w:p>
    <w:p w:rsidR="00B93E32" w:rsidRPr="00EF5072" w:rsidRDefault="00B93E32" w:rsidP="00B93E32">
      <w:pPr>
        <w:pStyle w:val="enumlev1"/>
        <w:rPr>
          <w:sz w:val="20"/>
          <w:lang w:val="en-GB"/>
        </w:rPr>
      </w:pPr>
      <w:r w:rsidRPr="00EF5072">
        <w:rPr>
          <w:i/>
          <w:sz w:val="20"/>
          <w:lang w:val="en-GB"/>
        </w:rPr>
        <w:t>Step 4:</w:t>
      </w:r>
      <w:r w:rsidRPr="00EF5072">
        <w:rPr>
          <w:sz w:val="20"/>
          <w:lang w:val="en-GB"/>
        </w:rPr>
        <w:t xml:space="preserve"> </w:t>
      </w:r>
      <w:r w:rsidRPr="00EF5072">
        <w:rPr>
          <w:sz w:val="20"/>
          <w:lang w:val="en-GB"/>
        </w:rPr>
        <w:tab/>
      </w:r>
      <w:r w:rsidRPr="00EF5072">
        <w:rPr>
          <w:sz w:val="20"/>
          <w:lang w:val="en-GB" w:eastAsia="ja-JP"/>
        </w:rPr>
        <w:t>Compare</w:t>
      </w:r>
      <w:r w:rsidRPr="00EF5072">
        <w:rPr>
          <w:sz w:val="20"/>
          <w:lang w:val="en-GB"/>
        </w:rPr>
        <w:t xml:space="preserve"> the uplink spectral efficiency values</w:t>
      </w:r>
      <w:r w:rsidRPr="00EF5072">
        <w:rPr>
          <w:rFonts w:eastAsia="MS Mincho"/>
          <w:sz w:val="20"/>
          <w:lang w:val="en-GB"/>
        </w:rPr>
        <w:t xml:space="preserve"> (link data rate normalized by channel bandwidth) obtained from</w:t>
      </w:r>
      <w:r w:rsidRPr="00EF5072">
        <w:rPr>
          <w:rFonts w:eastAsia="MS Mincho"/>
          <w:i/>
          <w:sz w:val="20"/>
          <w:lang w:val="en-GB"/>
        </w:rPr>
        <w:t xml:space="preserve"> Step 3</w:t>
      </w:r>
      <w:r w:rsidRPr="00EF5072">
        <w:rPr>
          <w:sz w:val="20"/>
          <w:lang w:val="en-GB"/>
        </w:rPr>
        <w:t xml:space="preserve"> using the associated </w:t>
      </w:r>
      <w:r w:rsidRPr="00EF5072">
        <w:rPr>
          <w:i/>
          <w:iCs/>
          <w:sz w:val="20"/>
          <w:lang w:val="en-GB"/>
        </w:rPr>
        <w:t>SINR</w:t>
      </w:r>
      <w:r w:rsidRPr="00EF5072">
        <w:rPr>
          <w:sz w:val="20"/>
          <w:lang w:val="en-GB"/>
        </w:rPr>
        <w:t xml:space="preserve"> value </w:t>
      </w:r>
      <w:r w:rsidRPr="00EF5072">
        <w:rPr>
          <w:rFonts w:eastAsia="MS Mincho"/>
          <w:sz w:val="20"/>
          <w:lang w:val="en-GB"/>
        </w:rPr>
        <w:t xml:space="preserve">obtained from </w:t>
      </w:r>
      <w:r w:rsidRPr="00EF5072">
        <w:rPr>
          <w:rFonts w:eastAsia="MS Mincho"/>
          <w:i/>
          <w:sz w:val="20"/>
          <w:lang w:val="en-GB"/>
        </w:rPr>
        <w:t>Step 2</w:t>
      </w:r>
      <w:r w:rsidRPr="00EF5072">
        <w:rPr>
          <w:rFonts w:eastAsia="MS Mincho"/>
          <w:sz w:val="20"/>
          <w:lang w:val="en-GB"/>
        </w:rPr>
        <w:t xml:space="preserve"> for </w:t>
      </w:r>
      <w:r w:rsidRPr="00EF5072">
        <w:rPr>
          <w:rFonts w:eastAsia="Malgun Gothic"/>
          <w:sz w:val="20"/>
          <w:lang w:val="en-GB"/>
        </w:rPr>
        <w:t>selected test environments</w:t>
      </w:r>
      <w:r w:rsidRPr="00EF5072">
        <w:rPr>
          <w:rFonts w:eastAsia="MS Mincho"/>
          <w:sz w:val="20"/>
          <w:lang w:val="en-GB"/>
        </w:rPr>
        <w:t xml:space="preserve">, </w:t>
      </w:r>
      <w:r w:rsidRPr="00EF5072">
        <w:rPr>
          <w:sz w:val="20"/>
          <w:lang w:val="en-GB"/>
        </w:rPr>
        <w:t xml:space="preserve">with the corresponding threshold values in the </w:t>
      </w:r>
      <w:r w:rsidRPr="005E2857">
        <w:rPr>
          <w:sz w:val="20"/>
          <w:lang w:val="en-GB"/>
        </w:rPr>
        <w:fldChar w:fldCharType="begin"/>
      </w:r>
      <w:r w:rsidRPr="005E2857">
        <w:rPr>
          <w:sz w:val="20"/>
          <w:lang w:val="en-GB"/>
        </w:rPr>
        <w:instrText xml:space="preserve"> REF _Ref521445888 \h  \* MERGEFORMAT </w:instrText>
      </w:r>
      <w:r w:rsidRPr="005E2857">
        <w:rPr>
          <w:sz w:val="20"/>
          <w:lang w:val="en-GB"/>
        </w:rPr>
      </w:r>
      <w:r w:rsidRPr="005E2857">
        <w:rPr>
          <w:sz w:val="20"/>
          <w:lang w:val="en-GB"/>
        </w:rPr>
        <w:fldChar w:fldCharType="separate"/>
      </w:r>
      <w:r w:rsidRPr="00384E52">
        <w:rPr>
          <w:color w:val="000000" w:themeColor="text1"/>
          <w:sz w:val="20"/>
        </w:rPr>
        <w:t xml:space="preserve">Table </w:t>
      </w:r>
      <w:r w:rsidRPr="00384E52">
        <w:rPr>
          <w:noProof/>
          <w:color w:val="000000" w:themeColor="text1"/>
          <w:sz w:val="20"/>
        </w:rPr>
        <w:t>1</w:t>
      </w:r>
      <w:r w:rsidRPr="005E2857">
        <w:rPr>
          <w:sz w:val="20"/>
          <w:lang w:val="en-GB"/>
        </w:rPr>
        <w:fldChar w:fldCharType="end"/>
      </w:r>
      <w:r w:rsidRPr="00EF5072">
        <w:rPr>
          <w:sz w:val="20"/>
          <w:lang w:val="en-GB"/>
        </w:rPr>
        <w:t>.</w:t>
      </w:r>
    </w:p>
    <w:p w:rsidR="00B93E32" w:rsidRPr="00EF5072" w:rsidRDefault="00B93E32" w:rsidP="00B93E32">
      <w:pPr>
        <w:pStyle w:val="enumlev1"/>
        <w:rPr>
          <w:sz w:val="20"/>
          <w:lang w:val="en-GB"/>
        </w:rPr>
      </w:pPr>
      <w:r w:rsidRPr="00EF5072">
        <w:rPr>
          <w:i/>
          <w:sz w:val="20"/>
          <w:lang w:val="en-GB"/>
        </w:rPr>
        <w:t xml:space="preserve">Step 5: </w:t>
      </w:r>
      <w:r w:rsidRPr="00EF5072">
        <w:rPr>
          <w:i/>
          <w:sz w:val="20"/>
          <w:lang w:val="en-GB"/>
        </w:rPr>
        <w:tab/>
      </w:r>
      <w:r w:rsidRPr="00EF5072">
        <w:rPr>
          <w:sz w:val="20"/>
          <w:lang w:val="en-GB"/>
        </w:rPr>
        <w:t xml:space="preserve">The proposal fulfils the mobility requirement if the spectral efficiency value is larger than </w:t>
      </w:r>
      <w:r w:rsidRPr="00EF5072">
        <w:rPr>
          <w:sz w:val="20"/>
          <w:lang w:val="en-GB" w:eastAsia="ja-JP"/>
        </w:rPr>
        <w:t>or</w:t>
      </w:r>
      <w:r w:rsidRPr="00EF5072">
        <w:rPr>
          <w:sz w:val="20"/>
          <w:lang w:val="en-GB"/>
        </w:rPr>
        <w:t xml:space="preserve"> equal to the corresponding threshold value and if also the residual decoded packet error ratio is less than 1%, for all selected test environments. For the selected test environment it is sufficient if one of the spectral efficiency values (using either NLOS or LOS channel conditions) fulfils the threshold.</w:t>
      </w:r>
    </w:p>
    <w:p w:rsidR="00B93E32" w:rsidRDefault="00B93E32" w:rsidP="00B93E32">
      <w:pPr>
        <w:spacing w:before="240"/>
        <w:jc w:val="both"/>
        <w:rPr>
          <w:lang w:val="en-GB"/>
        </w:rPr>
      </w:pPr>
      <w:r>
        <w:rPr>
          <w:lang w:val="en-GB"/>
        </w:rPr>
        <w:t xml:space="preserve">In order to show that NR can meet the IMT-2020 mobility requirements, we assume the following methodology derived from the requirements in </w:t>
      </w:r>
      <w:r w:rsidRPr="005E2857">
        <w:rPr>
          <w:lang w:val="en-GB"/>
        </w:rPr>
        <w:fldChar w:fldCharType="begin"/>
      </w:r>
      <w:r w:rsidRPr="005E2857">
        <w:rPr>
          <w:lang w:val="en-GB"/>
        </w:rPr>
        <w:instrText xml:space="preserve"> REF _Ref521445888 \h  \* MERGEFORMAT </w:instrText>
      </w:r>
      <w:r w:rsidRPr="005E2857">
        <w:rPr>
          <w:lang w:val="en-GB"/>
        </w:rPr>
      </w:r>
      <w:r w:rsidRPr="005E2857">
        <w:rPr>
          <w:lang w:val="en-GB"/>
        </w:rPr>
        <w:fldChar w:fldCharType="separate"/>
      </w:r>
      <w:r w:rsidRPr="00B93E32">
        <w:rPr>
          <w:color w:val="000000" w:themeColor="text1"/>
        </w:rPr>
        <w:t xml:space="preserve">Table </w:t>
      </w:r>
      <w:r w:rsidRPr="00B93E32">
        <w:rPr>
          <w:noProof/>
          <w:color w:val="000000" w:themeColor="text1"/>
        </w:rPr>
        <w:t>5</w:t>
      </w:r>
      <w:r w:rsidRPr="005E2857">
        <w:rPr>
          <w:lang w:val="en-GB"/>
        </w:rPr>
        <w:fldChar w:fldCharType="end"/>
      </w:r>
      <w:r>
        <w:rPr>
          <w:lang w:val="en-GB"/>
        </w:rPr>
        <w:t xml:space="preserve"> and the outlined evaluation method above: </w:t>
      </w:r>
    </w:p>
    <w:p w:rsidR="00B93E32" w:rsidRDefault="00B93E32" w:rsidP="00B93E32">
      <w:pPr>
        <w:pStyle w:val="ListParagraph"/>
        <w:numPr>
          <w:ilvl w:val="0"/>
          <w:numId w:val="20"/>
        </w:numPr>
        <w:spacing w:before="240"/>
        <w:jc w:val="both"/>
        <w:rPr>
          <w:lang w:val="en-GB"/>
        </w:rPr>
      </w:pPr>
      <w:r>
        <w:rPr>
          <w:lang w:val="en-GB"/>
        </w:rPr>
        <w:t xml:space="preserve">Run the link level simulator for each test environment and corresponding mobility speed taken from </w:t>
      </w:r>
      <w:r w:rsidRPr="005E2857">
        <w:rPr>
          <w:lang w:val="en-GB"/>
        </w:rPr>
        <w:fldChar w:fldCharType="begin"/>
      </w:r>
      <w:r w:rsidRPr="005E2857">
        <w:rPr>
          <w:lang w:val="en-GB"/>
        </w:rPr>
        <w:instrText xml:space="preserve"> REF _Ref521445888 \h  \* MERGEFORMAT </w:instrText>
      </w:r>
      <w:r w:rsidRPr="005E2857">
        <w:rPr>
          <w:lang w:val="en-GB"/>
        </w:rPr>
      </w:r>
      <w:r w:rsidRPr="005E2857">
        <w:rPr>
          <w:lang w:val="en-GB"/>
        </w:rPr>
        <w:fldChar w:fldCharType="separate"/>
      </w:r>
      <w:r w:rsidRPr="00384E52">
        <w:rPr>
          <w:color w:val="000000" w:themeColor="text1"/>
        </w:rPr>
        <w:t xml:space="preserve">Table </w:t>
      </w:r>
      <w:r w:rsidRPr="00384E52">
        <w:rPr>
          <w:noProof/>
          <w:color w:val="000000" w:themeColor="text1"/>
        </w:rPr>
        <w:t>1</w:t>
      </w:r>
      <w:r w:rsidRPr="005E2857">
        <w:rPr>
          <w:lang w:val="en-GB"/>
        </w:rPr>
        <w:fldChar w:fldCharType="end"/>
      </w:r>
      <w:r>
        <w:rPr>
          <w:lang w:val="en-GB"/>
        </w:rPr>
        <w:t xml:space="preserve"> and determine the SINR required to achieve the required normalized PUSCH link data rate shown in </w:t>
      </w:r>
      <w:r w:rsidRPr="005E2857">
        <w:rPr>
          <w:lang w:val="en-GB"/>
        </w:rPr>
        <w:fldChar w:fldCharType="begin"/>
      </w:r>
      <w:r w:rsidRPr="005E2857">
        <w:rPr>
          <w:lang w:val="en-GB"/>
        </w:rPr>
        <w:instrText xml:space="preserve"> REF _Ref521445888 \h  \* MERGEFORMAT </w:instrText>
      </w:r>
      <w:r w:rsidRPr="005E2857">
        <w:rPr>
          <w:lang w:val="en-GB"/>
        </w:rPr>
      </w:r>
      <w:r w:rsidRPr="005E2857">
        <w:rPr>
          <w:lang w:val="en-GB"/>
        </w:rPr>
        <w:fldChar w:fldCharType="separate"/>
      </w:r>
      <w:r w:rsidRPr="00384E52">
        <w:rPr>
          <w:color w:val="000000" w:themeColor="text1"/>
        </w:rPr>
        <w:t xml:space="preserve">Table </w:t>
      </w:r>
      <w:r w:rsidRPr="00384E52">
        <w:rPr>
          <w:noProof/>
          <w:color w:val="000000" w:themeColor="text1"/>
        </w:rPr>
        <w:t>1</w:t>
      </w:r>
      <w:r w:rsidRPr="005E2857">
        <w:rPr>
          <w:lang w:val="en-GB"/>
        </w:rPr>
        <w:fldChar w:fldCharType="end"/>
      </w:r>
      <w:r>
        <w:rPr>
          <w:lang w:val="en-GB"/>
        </w:rPr>
        <w:t xml:space="preserve"> for a BLER of 1%. </w:t>
      </w:r>
    </w:p>
    <w:p w:rsidR="00B93E32" w:rsidRDefault="00B93E32" w:rsidP="00B93E32">
      <w:pPr>
        <w:pStyle w:val="ListParagraph"/>
        <w:numPr>
          <w:ilvl w:val="0"/>
          <w:numId w:val="20"/>
        </w:numPr>
        <w:spacing w:before="240"/>
        <w:jc w:val="both"/>
        <w:rPr>
          <w:lang w:val="en-GB"/>
        </w:rPr>
      </w:pPr>
      <w:r>
        <w:rPr>
          <w:lang w:val="en-GB"/>
        </w:rPr>
        <w:lastRenderedPageBreak/>
        <w:t>Run system level simulator to evaluate the 50</w:t>
      </w:r>
      <w:r w:rsidRPr="005E2857">
        <w:rPr>
          <w:vertAlign w:val="superscript"/>
          <w:lang w:val="en-GB"/>
        </w:rPr>
        <w:t>th</w:t>
      </w:r>
      <w:r>
        <w:rPr>
          <w:lang w:val="en-GB"/>
        </w:rPr>
        <w:t xml:space="preserve"> percentile pre-processing SINR for each test environment according to the deployment assumptions provided in </w:t>
      </w:r>
      <w:r>
        <w:rPr>
          <w:lang w:val="en-GB"/>
        </w:rPr>
        <w:fldChar w:fldCharType="begin"/>
      </w:r>
      <w:r>
        <w:rPr>
          <w:lang w:val="en-GB"/>
        </w:rPr>
        <w:instrText xml:space="preserve"> REF _Ref521444234 \r \h </w:instrText>
      </w:r>
      <w:r>
        <w:rPr>
          <w:lang w:val="en-GB"/>
        </w:rPr>
      </w:r>
      <w:r>
        <w:rPr>
          <w:lang w:val="en-GB"/>
        </w:rPr>
        <w:fldChar w:fldCharType="separate"/>
      </w:r>
      <w:r>
        <w:rPr>
          <w:lang w:val="en-GB"/>
        </w:rPr>
        <w:t>[3]</w:t>
      </w:r>
      <w:r>
        <w:rPr>
          <w:lang w:val="en-GB"/>
        </w:rPr>
        <w:fldChar w:fldCharType="end"/>
      </w:r>
      <w:r>
        <w:rPr>
          <w:lang w:val="en-GB"/>
        </w:rPr>
        <w:t xml:space="preserve"> and the antenna configurations and open loop power control parameters detailed in Section </w:t>
      </w:r>
      <w:r>
        <w:rPr>
          <w:lang w:val="en-GB"/>
        </w:rPr>
        <w:fldChar w:fldCharType="begin"/>
      </w:r>
      <w:r>
        <w:rPr>
          <w:lang w:val="en-GB"/>
        </w:rPr>
        <w:instrText xml:space="preserve"> REF _Ref521446146 \r \h </w:instrText>
      </w:r>
      <w:r>
        <w:rPr>
          <w:lang w:val="en-GB"/>
        </w:rPr>
      </w:r>
      <w:r>
        <w:rPr>
          <w:lang w:val="en-GB"/>
        </w:rPr>
        <w:fldChar w:fldCharType="separate"/>
      </w:r>
      <w:r>
        <w:rPr>
          <w:lang w:val="en-GB"/>
        </w:rPr>
        <w:t>3</w:t>
      </w:r>
      <w:r>
        <w:rPr>
          <w:lang w:val="en-GB"/>
        </w:rPr>
        <w:fldChar w:fldCharType="end"/>
      </w:r>
      <w:r>
        <w:rPr>
          <w:lang w:val="en-GB"/>
        </w:rPr>
        <w:t xml:space="preserve">. </w:t>
      </w:r>
    </w:p>
    <w:p w:rsidR="00B93E32" w:rsidRDefault="00B93E32" w:rsidP="00B93E32">
      <w:pPr>
        <w:pStyle w:val="ListParagraph"/>
        <w:numPr>
          <w:ilvl w:val="0"/>
          <w:numId w:val="20"/>
        </w:numPr>
        <w:spacing w:before="240"/>
        <w:jc w:val="both"/>
        <w:rPr>
          <w:lang w:val="en-GB"/>
        </w:rPr>
      </w:pPr>
      <w:r>
        <w:rPr>
          <w:lang w:val="en-GB"/>
        </w:rPr>
        <w:t>To show that NR can meet the mobility requirements, it suffices to show that the 50</w:t>
      </w:r>
      <w:r w:rsidRPr="005E2857">
        <w:rPr>
          <w:vertAlign w:val="superscript"/>
          <w:lang w:val="en-GB"/>
        </w:rPr>
        <w:t>th</w:t>
      </w:r>
      <w:r>
        <w:rPr>
          <w:lang w:val="en-GB"/>
        </w:rPr>
        <w:t xml:space="preserve"> percentile SINR evaluated from the system level simulations is higher than the SINR required to achieve the required target normalized link PUSCH link data rate from </w:t>
      </w:r>
      <w:r w:rsidRPr="005E2857">
        <w:rPr>
          <w:lang w:val="en-GB"/>
        </w:rPr>
        <w:fldChar w:fldCharType="begin"/>
      </w:r>
      <w:r w:rsidRPr="005E2857">
        <w:rPr>
          <w:lang w:val="en-GB"/>
        </w:rPr>
        <w:instrText xml:space="preserve"> REF _Ref521445888 \h  \* MERGEFORMAT </w:instrText>
      </w:r>
      <w:r w:rsidRPr="005E2857">
        <w:rPr>
          <w:lang w:val="en-GB"/>
        </w:rPr>
      </w:r>
      <w:r w:rsidRPr="005E2857">
        <w:rPr>
          <w:lang w:val="en-GB"/>
        </w:rPr>
        <w:fldChar w:fldCharType="separate"/>
      </w:r>
      <w:r w:rsidRPr="00384E52">
        <w:rPr>
          <w:color w:val="000000" w:themeColor="text1"/>
        </w:rPr>
        <w:t xml:space="preserve">Table </w:t>
      </w:r>
      <w:r w:rsidRPr="00384E52">
        <w:rPr>
          <w:noProof/>
          <w:color w:val="000000" w:themeColor="text1"/>
        </w:rPr>
        <w:t>1</w:t>
      </w:r>
      <w:r w:rsidRPr="005E2857">
        <w:rPr>
          <w:lang w:val="en-GB"/>
        </w:rPr>
        <w:fldChar w:fldCharType="end"/>
      </w:r>
      <w:r>
        <w:rPr>
          <w:lang w:val="en-GB"/>
        </w:rPr>
        <w:t>.</w:t>
      </w:r>
    </w:p>
    <w:p w:rsidR="00B93E32" w:rsidRPr="005E2857" w:rsidRDefault="00B93E32" w:rsidP="00B93E32">
      <w:pPr>
        <w:spacing w:before="240"/>
        <w:jc w:val="both"/>
        <w:rPr>
          <w:lang w:val="en-GB"/>
        </w:rPr>
      </w:pPr>
      <w:r>
        <w:rPr>
          <w:lang w:val="en-GB"/>
        </w:rPr>
        <w:t xml:space="preserve">Based on the outlined methodology, in our companion contribution </w:t>
      </w:r>
      <w:r>
        <w:rPr>
          <w:lang w:val="en-GB"/>
        </w:rPr>
        <w:fldChar w:fldCharType="begin"/>
      </w:r>
      <w:r>
        <w:rPr>
          <w:lang w:val="en-GB"/>
        </w:rPr>
        <w:instrText xml:space="preserve"> REF _Ref521704871 \r \h </w:instrText>
      </w:r>
      <w:r>
        <w:rPr>
          <w:lang w:val="en-GB"/>
        </w:rPr>
      </w:r>
      <w:r>
        <w:rPr>
          <w:lang w:val="en-GB"/>
        </w:rPr>
        <w:fldChar w:fldCharType="separate"/>
      </w:r>
      <w:r>
        <w:rPr>
          <w:lang w:val="en-GB"/>
        </w:rPr>
        <w:t>[13]</w:t>
      </w:r>
      <w:r>
        <w:rPr>
          <w:lang w:val="en-GB"/>
        </w:rPr>
        <w:fldChar w:fldCharType="end"/>
      </w:r>
      <w:r>
        <w:rPr>
          <w:lang w:val="en-GB"/>
        </w:rPr>
        <w:t xml:space="preserve">, we present detailed results to show that the Mobility requirements for IMT-2020 are met by NR. </w:t>
      </w:r>
    </w:p>
    <w:p w:rsidR="00B93E32" w:rsidRDefault="00B93E32" w:rsidP="00B93E32">
      <w:pPr>
        <w:rPr>
          <w:lang w:val="en-GB" w:eastAsia="x-none"/>
        </w:rPr>
      </w:pPr>
    </w:p>
    <w:p w:rsidR="0007786A" w:rsidRPr="0007786A" w:rsidRDefault="0007786A" w:rsidP="0007786A">
      <w:pPr>
        <w:pStyle w:val="ListParagraph"/>
        <w:keepNext/>
        <w:widowControl w:val="0"/>
        <w:numPr>
          <w:ilvl w:val="0"/>
          <w:numId w:val="12"/>
        </w:numPr>
        <w:spacing w:before="240" w:after="60"/>
        <w:outlineLvl w:val="1"/>
        <w:rPr>
          <w:rFonts w:ascii="Arial" w:eastAsia="Batang" w:hAnsi="Arial"/>
          <w:bCs/>
          <w:iCs/>
          <w:vanish/>
          <w:sz w:val="24"/>
          <w:szCs w:val="28"/>
          <w:lang w:val="en-GB" w:eastAsia="x-none"/>
        </w:rPr>
      </w:pPr>
    </w:p>
    <w:p w:rsidR="0007786A" w:rsidRPr="0007786A" w:rsidRDefault="0007786A" w:rsidP="0007786A">
      <w:pPr>
        <w:pStyle w:val="ListParagraph"/>
        <w:keepNext/>
        <w:widowControl w:val="0"/>
        <w:numPr>
          <w:ilvl w:val="0"/>
          <w:numId w:val="12"/>
        </w:numPr>
        <w:spacing w:before="240" w:after="60"/>
        <w:outlineLvl w:val="1"/>
        <w:rPr>
          <w:rFonts w:ascii="Arial" w:eastAsia="Batang" w:hAnsi="Arial"/>
          <w:bCs/>
          <w:iCs/>
          <w:vanish/>
          <w:sz w:val="24"/>
          <w:szCs w:val="28"/>
          <w:lang w:val="en-GB" w:eastAsia="x-none"/>
        </w:rPr>
      </w:pPr>
    </w:p>
    <w:p w:rsidR="0007786A" w:rsidRPr="0007786A" w:rsidRDefault="0007786A" w:rsidP="0007786A">
      <w:pPr>
        <w:pStyle w:val="ListParagraph"/>
        <w:keepNext/>
        <w:widowControl w:val="0"/>
        <w:numPr>
          <w:ilvl w:val="1"/>
          <w:numId w:val="12"/>
        </w:numPr>
        <w:spacing w:before="240" w:after="60"/>
        <w:outlineLvl w:val="1"/>
        <w:rPr>
          <w:rFonts w:ascii="Arial" w:eastAsia="Batang" w:hAnsi="Arial"/>
          <w:bCs/>
          <w:iCs/>
          <w:vanish/>
          <w:sz w:val="24"/>
          <w:szCs w:val="28"/>
          <w:lang w:val="en-GB" w:eastAsia="x-none"/>
        </w:rPr>
      </w:pPr>
    </w:p>
    <w:p w:rsidR="0007786A" w:rsidRDefault="0007786A" w:rsidP="0007786A">
      <w:pPr>
        <w:pStyle w:val="Style1"/>
        <w:numPr>
          <w:ilvl w:val="1"/>
          <w:numId w:val="12"/>
        </w:numPr>
      </w:pPr>
      <w:r>
        <w:t>Reliability and Connection Density</w:t>
      </w:r>
    </w:p>
    <w:p w:rsidR="00B93E32" w:rsidRPr="00B93E32" w:rsidRDefault="0007786A" w:rsidP="00B93E32">
      <w:pPr>
        <w:rPr>
          <w:lang w:val="en-GB" w:eastAsia="x-none"/>
        </w:rPr>
      </w:pPr>
      <w:r>
        <w:rPr>
          <w:lang w:val="en-GB" w:eastAsia="x-none"/>
        </w:rPr>
        <w:t xml:space="preserve">For details on simulation assumptions for Reliability, interested readers are referred to our companion contribution </w:t>
      </w:r>
      <w:r>
        <w:rPr>
          <w:lang w:val="en-GB" w:eastAsia="x-none"/>
        </w:rPr>
        <w:fldChar w:fldCharType="begin"/>
      </w:r>
      <w:r>
        <w:rPr>
          <w:lang w:val="en-GB" w:eastAsia="x-none"/>
        </w:rPr>
        <w:instrText xml:space="preserve"> REF _Ref521705461 \r \h </w:instrText>
      </w:r>
      <w:r>
        <w:rPr>
          <w:lang w:val="en-GB" w:eastAsia="x-none"/>
        </w:rPr>
      </w:r>
      <w:r>
        <w:rPr>
          <w:lang w:val="en-GB" w:eastAsia="x-none"/>
        </w:rPr>
        <w:fldChar w:fldCharType="separate"/>
      </w:r>
      <w:r>
        <w:rPr>
          <w:lang w:val="en-GB" w:eastAsia="x-none"/>
        </w:rPr>
        <w:t>[18]</w:t>
      </w:r>
      <w:r>
        <w:rPr>
          <w:lang w:val="en-GB" w:eastAsia="x-none"/>
        </w:rPr>
        <w:fldChar w:fldCharType="end"/>
      </w:r>
      <w:r>
        <w:rPr>
          <w:lang w:val="en-GB" w:eastAsia="x-none"/>
        </w:rPr>
        <w:t xml:space="preserve"> and for Connection Density, to our companion contribution </w:t>
      </w:r>
      <w:r>
        <w:rPr>
          <w:lang w:val="en-GB" w:eastAsia="x-none"/>
        </w:rPr>
        <w:fldChar w:fldCharType="begin"/>
      </w:r>
      <w:r>
        <w:rPr>
          <w:lang w:val="en-GB" w:eastAsia="x-none"/>
        </w:rPr>
        <w:instrText xml:space="preserve"> REF _Ref521705498 \r \h </w:instrText>
      </w:r>
      <w:r>
        <w:rPr>
          <w:lang w:val="en-GB" w:eastAsia="x-none"/>
        </w:rPr>
      </w:r>
      <w:r>
        <w:rPr>
          <w:lang w:val="en-GB" w:eastAsia="x-none"/>
        </w:rPr>
        <w:fldChar w:fldCharType="separate"/>
      </w:r>
      <w:r>
        <w:rPr>
          <w:lang w:val="en-GB" w:eastAsia="x-none"/>
        </w:rPr>
        <w:t>[17]</w:t>
      </w:r>
      <w:r>
        <w:rPr>
          <w:lang w:val="en-GB" w:eastAsia="x-none"/>
        </w:rPr>
        <w:fldChar w:fldCharType="end"/>
      </w:r>
      <w:r>
        <w:rPr>
          <w:lang w:val="en-GB" w:eastAsia="x-none"/>
        </w:rPr>
        <w:t>. For evaluation for both these metrics, we adopt the SLS+LLS methodology and present results which show that IMT-2020 requirements can be satisfied by NR.</w:t>
      </w:r>
    </w:p>
    <w:p w:rsidR="0044590C" w:rsidRPr="0044590C" w:rsidRDefault="0044590C" w:rsidP="009A730D">
      <w:pPr>
        <w:pStyle w:val="Heading1"/>
        <w:rPr>
          <w:lang w:val="en-US"/>
        </w:rPr>
      </w:pPr>
      <w:r>
        <w:t>Conclusions</w:t>
      </w:r>
      <w:r w:rsidR="009A730D">
        <w:t xml:space="preserve">  </w:t>
      </w:r>
    </w:p>
    <w:p w:rsidR="00F340B0" w:rsidRDefault="0044590C" w:rsidP="007A2008">
      <w:pPr>
        <w:spacing w:before="240"/>
        <w:rPr>
          <w:lang w:val="en-GB" w:eastAsia="x-none"/>
        </w:rPr>
      </w:pPr>
      <w:r>
        <w:rPr>
          <w:lang w:val="en-GB" w:eastAsia="x-none"/>
        </w:rPr>
        <w:t xml:space="preserve">In this paper, </w:t>
      </w:r>
      <w:r w:rsidR="0007786A">
        <w:rPr>
          <w:lang w:val="en-GB" w:eastAsia="x-none"/>
        </w:rPr>
        <w:t>we presented our adopted evaluation methodology for the analytical and simulation based metrics for IMT-2020</w:t>
      </w:r>
      <w:r w:rsidR="00EB1502">
        <w:rPr>
          <w:lang w:val="en-GB" w:eastAsia="x-none"/>
        </w:rPr>
        <w:t xml:space="preserve">. </w:t>
      </w:r>
      <w:r w:rsidR="0007786A">
        <w:rPr>
          <w:lang w:val="en-GB" w:eastAsia="x-none"/>
        </w:rPr>
        <w:t>The detailed assumptions for each metric are further outlined in the respective companion contributions which present the evaluation results.</w:t>
      </w:r>
    </w:p>
    <w:p w:rsidR="0011633D" w:rsidRPr="0011633D" w:rsidRDefault="0011633D" w:rsidP="0007786A">
      <w:pPr>
        <w:pStyle w:val="ListParagraph"/>
        <w:keepNext/>
        <w:widowControl w:val="0"/>
        <w:numPr>
          <w:ilvl w:val="0"/>
          <w:numId w:val="12"/>
        </w:numPr>
        <w:spacing w:before="240" w:after="60"/>
        <w:outlineLvl w:val="1"/>
        <w:rPr>
          <w:rFonts w:ascii="Arial" w:eastAsia="Batang" w:hAnsi="Arial"/>
          <w:bCs/>
          <w:iCs/>
          <w:vanish/>
          <w:sz w:val="24"/>
          <w:szCs w:val="28"/>
          <w:lang w:val="en-GB" w:eastAsia="x-none"/>
        </w:rPr>
      </w:pPr>
    </w:p>
    <w:p w:rsidR="00AD20CC" w:rsidRPr="00A173C6" w:rsidRDefault="00AD20CC" w:rsidP="009A730D">
      <w:pPr>
        <w:pStyle w:val="Heading1"/>
      </w:pPr>
      <w:r w:rsidRPr="00AD20CC">
        <w:t>References</w:t>
      </w:r>
    </w:p>
    <w:p w:rsidR="00AD20CC" w:rsidRPr="00954AE6" w:rsidRDefault="00AD20CC" w:rsidP="00AD20CC">
      <w:pPr>
        <w:rPr>
          <w:lang w:eastAsia="x-none"/>
        </w:rPr>
      </w:pPr>
    </w:p>
    <w:p w:rsidR="00AD20CC" w:rsidRPr="00605E38" w:rsidRDefault="00AD20CC" w:rsidP="00FA1514">
      <w:pPr>
        <w:pStyle w:val="ListParagraph"/>
        <w:numPr>
          <w:ilvl w:val="0"/>
          <w:numId w:val="5"/>
        </w:numPr>
        <w:ind w:left="900" w:hanging="540"/>
        <w:contextualSpacing w:val="0"/>
        <w:jc w:val="both"/>
        <w:rPr>
          <w:i/>
        </w:rPr>
      </w:pPr>
      <w:r>
        <w:t xml:space="preserve">RP-170832, </w:t>
      </w:r>
      <w:r>
        <w:rPr>
          <w:i/>
        </w:rPr>
        <w:t xml:space="preserve">New Study Item on Self-Evaluation towards IMT-2020, </w:t>
      </w:r>
      <w:r>
        <w:t xml:space="preserve">Huawei, Ericsson, </w:t>
      </w:r>
      <w:proofErr w:type="gramStart"/>
      <w:r>
        <w:t>3GPP</w:t>
      </w:r>
      <w:proofErr w:type="gramEnd"/>
      <w:r>
        <w:t xml:space="preserve"> TSG RAN Meeting #75, Dubrovnik, Croatia, March 6-9, 2017.</w:t>
      </w:r>
    </w:p>
    <w:p w:rsidR="00AD20CC" w:rsidRDefault="00AD20CC" w:rsidP="00FA1514">
      <w:pPr>
        <w:pStyle w:val="ListParagraph"/>
        <w:numPr>
          <w:ilvl w:val="0"/>
          <w:numId w:val="5"/>
        </w:numPr>
        <w:ind w:left="900" w:hanging="540"/>
        <w:contextualSpacing w:val="0"/>
        <w:jc w:val="both"/>
        <w:rPr>
          <w:i/>
        </w:rPr>
      </w:pPr>
      <w:bookmarkStart w:id="7" w:name="_Ref520883657"/>
      <w:r>
        <w:t>ITU-R M.2410-0,</w:t>
      </w:r>
      <w:r w:rsidRPr="00605E38">
        <w:rPr>
          <w:i/>
        </w:rPr>
        <w:t xml:space="preserve"> Minimum requirements related to technical performance for IMT-2020 radio interface(s)</w:t>
      </w:r>
      <w:bookmarkEnd w:id="7"/>
    </w:p>
    <w:p w:rsidR="00AD20CC" w:rsidRDefault="00AD20CC" w:rsidP="00FA1514">
      <w:pPr>
        <w:pStyle w:val="ListParagraph"/>
        <w:numPr>
          <w:ilvl w:val="0"/>
          <w:numId w:val="5"/>
        </w:numPr>
        <w:ind w:left="900" w:hanging="540"/>
        <w:contextualSpacing w:val="0"/>
        <w:jc w:val="both"/>
        <w:rPr>
          <w:i/>
        </w:rPr>
      </w:pPr>
      <w:r>
        <w:t xml:space="preserve">ITU-R M.2412-0, </w:t>
      </w:r>
      <w:r w:rsidRPr="00605E38">
        <w:rPr>
          <w:i/>
        </w:rPr>
        <w:t>Guidelines for evaluation of radio interface technologies for IMT-2020</w:t>
      </w:r>
    </w:p>
    <w:p w:rsidR="00AD20CC" w:rsidRDefault="00AD20CC" w:rsidP="00FA1514">
      <w:pPr>
        <w:pStyle w:val="ListParagraph"/>
        <w:numPr>
          <w:ilvl w:val="0"/>
          <w:numId w:val="5"/>
        </w:numPr>
        <w:ind w:left="900" w:hanging="540"/>
        <w:contextualSpacing w:val="0"/>
        <w:jc w:val="both"/>
        <w:rPr>
          <w:i/>
        </w:rPr>
      </w:pPr>
      <w:r>
        <w:t xml:space="preserve">ITU-R M.2134, </w:t>
      </w:r>
      <w:r w:rsidRPr="00EC08BC">
        <w:rPr>
          <w:i/>
        </w:rPr>
        <w:t>Requirements related to technical performance for IMT-Advanced radio interface(s)</w:t>
      </w:r>
    </w:p>
    <w:p w:rsidR="00AD20CC" w:rsidRPr="00283250" w:rsidRDefault="00AD20CC" w:rsidP="00FA1514">
      <w:pPr>
        <w:pStyle w:val="ListParagraph"/>
        <w:numPr>
          <w:ilvl w:val="0"/>
          <w:numId w:val="5"/>
        </w:numPr>
        <w:ind w:left="900" w:hanging="540"/>
        <w:contextualSpacing w:val="0"/>
        <w:jc w:val="both"/>
      </w:pPr>
      <w:bookmarkStart w:id="8" w:name="_Ref521704785"/>
      <w:r>
        <w:t>3GPP TS 38.101-1 v15.</w:t>
      </w:r>
      <w:r w:rsidR="004332F5">
        <w:t>1</w:t>
      </w:r>
      <w:r>
        <w:t xml:space="preserve">.0, </w:t>
      </w:r>
      <w:r w:rsidRPr="00283250">
        <w:rPr>
          <w:i/>
        </w:rPr>
        <w:t>User Equipment radio transmission and reception: Part 1: Range 1 Standalone.</w:t>
      </w:r>
      <w:bookmarkEnd w:id="8"/>
    </w:p>
    <w:p w:rsidR="00AD20CC" w:rsidRPr="00BB3840" w:rsidRDefault="00AD20CC" w:rsidP="00FA1514">
      <w:pPr>
        <w:pStyle w:val="ListParagraph"/>
        <w:numPr>
          <w:ilvl w:val="0"/>
          <w:numId w:val="5"/>
        </w:numPr>
        <w:ind w:left="900" w:hanging="540"/>
        <w:contextualSpacing w:val="0"/>
      </w:pPr>
      <w:bookmarkStart w:id="9" w:name="_Ref521704791"/>
      <w:r>
        <w:t>3GPP TS 38.101-2 v15.</w:t>
      </w:r>
      <w:r w:rsidR="004332F5">
        <w:t>1</w:t>
      </w:r>
      <w:r>
        <w:t xml:space="preserve">.0, </w:t>
      </w:r>
      <w:r w:rsidRPr="00283250">
        <w:rPr>
          <w:i/>
        </w:rPr>
        <w:t xml:space="preserve">User Equipment radio transmission and reception: Part </w:t>
      </w:r>
      <w:r>
        <w:rPr>
          <w:i/>
        </w:rPr>
        <w:t>2</w:t>
      </w:r>
      <w:r w:rsidRPr="00283250">
        <w:rPr>
          <w:i/>
        </w:rPr>
        <w:t xml:space="preserve">: Range </w:t>
      </w:r>
      <w:r>
        <w:rPr>
          <w:i/>
        </w:rPr>
        <w:t>2</w:t>
      </w:r>
      <w:r w:rsidRPr="00283250">
        <w:rPr>
          <w:i/>
        </w:rPr>
        <w:t xml:space="preserve"> Standalone.</w:t>
      </w:r>
      <w:bookmarkEnd w:id="9"/>
    </w:p>
    <w:p w:rsidR="00BB3840" w:rsidRPr="004332F5" w:rsidRDefault="00BB3840" w:rsidP="00FA1514">
      <w:pPr>
        <w:pStyle w:val="ListParagraph"/>
        <w:numPr>
          <w:ilvl w:val="0"/>
          <w:numId w:val="5"/>
        </w:numPr>
        <w:ind w:left="900" w:hanging="540"/>
        <w:contextualSpacing w:val="0"/>
      </w:pPr>
      <w:bookmarkStart w:id="10" w:name="_Ref520884239"/>
      <w:r>
        <w:t>3GPP TS 38.306</w:t>
      </w:r>
      <w:r w:rsidR="004332F5">
        <w:t xml:space="preserve"> v15.1.0</w:t>
      </w:r>
      <w:r>
        <w:t xml:space="preserve">, </w:t>
      </w:r>
      <w:r w:rsidRPr="00283250">
        <w:rPr>
          <w:i/>
        </w:rPr>
        <w:t xml:space="preserve">User Equipment </w:t>
      </w:r>
      <w:r>
        <w:rPr>
          <w:i/>
        </w:rPr>
        <w:t>(UE) R</w:t>
      </w:r>
      <w:r w:rsidRPr="00283250">
        <w:rPr>
          <w:i/>
        </w:rPr>
        <w:t xml:space="preserve">adio </w:t>
      </w:r>
      <w:r>
        <w:rPr>
          <w:i/>
        </w:rPr>
        <w:t>Access Capabilities.</w:t>
      </w:r>
      <w:bookmarkEnd w:id="10"/>
    </w:p>
    <w:p w:rsidR="004332F5" w:rsidRPr="00DA4168" w:rsidRDefault="004332F5" w:rsidP="00FA1514">
      <w:pPr>
        <w:pStyle w:val="ListParagraph"/>
        <w:numPr>
          <w:ilvl w:val="0"/>
          <w:numId w:val="5"/>
        </w:numPr>
        <w:ind w:left="900" w:hanging="540"/>
        <w:jc w:val="both"/>
        <w:rPr>
          <w:i/>
        </w:rPr>
      </w:pPr>
      <w:bookmarkStart w:id="11" w:name="_Ref520887808"/>
      <w:r>
        <w:t xml:space="preserve">3GPP TS 38.214 v15.1.0, </w:t>
      </w:r>
      <w:r w:rsidRPr="00283BAA">
        <w:rPr>
          <w:i/>
        </w:rPr>
        <w:t xml:space="preserve">NR </w:t>
      </w:r>
      <w:r>
        <w:rPr>
          <w:i/>
        </w:rPr>
        <w:t>Physical Layer Procedures for Data (Release 15)</w:t>
      </w:r>
      <w:bookmarkEnd w:id="11"/>
    </w:p>
    <w:p w:rsidR="004332F5" w:rsidRPr="00B06AA5" w:rsidRDefault="004332F5" w:rsidP="00FA1514">
      <w:pPr>
        <w:pStyle w:val="ListParagraph"/>
        <w:numPr>
          <w:ilvl w:val="0"/>
          <w:numId w:val="5"/>
        </w:numPr>
        <w:ind w:left="900" w:hanging="540"/>
        <w:jc w:val="both"/>
        <w:rPr>
          <w:i/>
        </w:rPr>
      </w:pPr>
      <w:bookmarkStart w:id="12" w:name="_Ref520884493"/>
      <w:r>
        <w:t xml:space="preserve">3GPP TS 38.211 v15.1.0, </w:t>
      </w:r>
      <w:r w:rsidRPr="00283BAA">
        <w:rPr>
          <w:i/>
        </w:rPr>
        <w:t xml:space="preserve">NR </w:t>
      </w:r>
      <w:r>
        <w:rPr>
          <w:i/>
        </w:rPr>
        <w:t>Physical Channels and Modulation (Release 15)</w:t>
      </w:r>
      <w:bookmarkEnd w:id="12"/>
    </w:p>
    <w:p w:rsidR="00AD20CC" w:rsidRDefault="00AD20CC" w:rsidP="00FA1514">
      <w:pPr>
        <w:pStyle w:val="ListParagraph"/>
        <w:numPr>
          <w:ilvl w:val="0"/>
          <w:numId w:val="5"/>
        </w:numPr>
        <w:ind w:left="900" w:hanging="540"/>
        <w:jc w:val="both"/>
        <w:rPr>
          <w:szCs w:val="20"/>
        </w:rPr>
      </w:pPr>
      <w:r w:rsidRPr="0002053B">
        <w:rPr>
          <w:szCs w:val="20"/>
        </w:rPr>
        <w:t xml:space="preserve">RT-170019, </w:t>
      </w:r>
      <w:r w:rsidRPr="0002053B">
        <w:rPr>
          <w:i/>
          <w:szCs w:val="20"/>
        </w:rPr>
        <w:t xml:space="preserve">Summary of email discussion “[ITU-R AH 01] Calibration for self-evaluation, </w:t>
      </w:r>
      <w:r w:rsidRPr="0002053B">
        <w:rPr>
          <w:szCs w:val="20"/>
        </w:rPr>
        <w:t xml:space="preserve">Huawei, 3GPP TSG RAN ITU-R Ad Hoc. </w:t>
      </w:r>
    </w:p>
    <w:p w:rsidR="00FA1514" w:rsidRDefault="00FA1514" w:rsidP="00FA1514">
      <w:pPr>
        <w:pStyle w:val="ListParagraph"/>
        <w:numPr>
          <w:ilvl w:val="0"/>
          <w:numId w:val="5"/>
        </w:numPr>
        <w:ind w:left="900" w:hanging="540"/>
        <w:jc w:val="both"/>
        <w:rPr>
          <w:szCs w:val="20"/>
        </w:rPr>
      </w:pPr>
      <w:bookmarkStart w:id="13" w:name="_Ref521698455"/>
      <w:r>
        <w:rPr>
          <w:szCs w:val="20"/>
        </w:rPr>
        <w:t xml:space="preserve">R1-1808709, </w:t>
      </w:r>
      <w:r>
        <w:rPr>
          <w:i/>
          <w:szCs w:val="20"/>
        </w:rPr>
        <w:t xml:space="preserve">Peak Data Rate and Peak Spectral Efficiency Evaluations for NR, </w:t>
      </w:r>
      <w:r>
        <w:rPr>
          <w:szCs w:val="20"/>
        </w:rPr>
        <w:t>Intel Corporation, 3GPP WG RAN1 #94, Gothenburg, Sweden, August 20-24, 2018.</w:t>
      </w:r>
      <w:bookmarkEnd w:id="13"/>
    </w:p>
    <w:p w:rsidR="00FA1514" w:rsidRPr="0002053B" w:rsidRDefault="00FA1514" w:rsidP="00FA1514">
      <w:pPr>
        <w:pStyle w:val="ListParagraph"/>
        <w:numPr>
          <w:ilvl w:val="0"/>
          <w:numId w:val="5"/>
        </w:numPr>
        <w:ind w:left="900" w:hanging="540"/>
        <w:jc w:val="both"/>
        <w:rPr>
          <w:szCs w:val="20"/>
        </w:rPr>
      </w:pPr>
      <w:bookmarkStart w:id="14" w:name="_Ref521703956"/>
      <w:r>
        <w:rPr>
          <w:szCs w:val="20"/>
        </w:rPr>
        <w:t xml:space="preserve">R1-1808710, </w:t>
      </w:r>
      <w:r>
        <w:rPr>
          <w:i/>
          <w:szCs w:val="20"/>
        </w:rPr>
        <w:t xml:space="preserve">Spectral Efficiency Evaluation for NR eMBB, </w:t>
      </w:r>
      <w:r>
        <w:rPr>
          <w:szCs w:val="20"/>
        </w:rPr>
        <w:t>Intel Corporation, 3GPP WG RAN1 #94, Gothenburg, Sweden, August 20-24, 2018.</w:t>
      </w:r>
      <w:bookmarkEnd w:id="14"/>
    </w:p>
    <w:p w:rsidR="002B4127" w:rsidRPr="0002053B" w:rsidRDefault="002B4127" w:rsidP="002B4127">
      <w:pPr>
        <w:pStyle w:val="ListParagraph"/>
        <w:numPr>
          <w:ilvl w:val="0"/>
          <w:numId w:val="5"/>
        </w:numPr>
        <w:ind w:left="900" w:hanging="540"/>
        <w:jc w:val="both"/>
        <w:rPr>
          <w:szCs w:val="20"/>
        </w:rPr>
      </w:pPr>
      <w:bookmarkStart w:id="15" w:name="_Ref521704871"/>
      <w:r>
        <w:rPr>
          <w:szCs w:val="20"/>
        </w:rPr>
        <w:t xml:space="preserve">R1-1808711, </w:t>
      </w:r>
      <w:r>
        <w:rPr>
          <w:i/>
          <w:szCs w:val="20"/>
        </w:rPr>
        <w:t xml:space="preserve"> Mobility Evaluation for NR eMBB, </w:t>
      </w:r>
      <w:r>
        <w:rPr>
          <w:szCs w:val="20"/>
        </w:rPr>
        <w:t>Intel Corporation, 3GPP WG RAN1 #94, Gothenburg, Sweden, August 20-24, 2018.</w:t>
      </w:r>
      <w:bookmarkEnd w:id="15"/>
    </w:p>
    <w:p w:rsidR="002B4127" w:rsidRPr="0002053B" w:rsidRDefault="002B4127" w:rsidP="002B4127">
      <w:pPr>
        <w:pStyle w:val="ListParagraph"/>
        <w:numPr>
          <w:ilvl w:val="0"/>
          <w:numId w:val="5"/>
        </w:numPr>
        <w:ind w:left="900" w:hanging="540"/>
        <w:jc w:val="both"/>
        <w:rPr>
          <w:szCs w:val="20"/>
        </w:rPr>
      </w:pPr>
      <w:bookmarkStart w:id="16" w:name="_Ref521704003"/>
      <w:r>
        <w:rPr>
          <w:szCs w:val="20"/>
        </w:rPr>
        <w:t xml:space="preserve">R1-1808712, </w:t>
      </w:r>
      <w:r>
        <w:rPr>
          <w:i/>
          <w:szCs w:val="20"/>
        </w:rPr>
        <w:t xml:space="preserve">Area Traffic Capacity Evaluation for NR Indoor Hotspot eMBB, </w:t>
      </w:r>
      <w:r>
        <w:rPr>
          <w:szCs w:val="20"/>
        </w:rPr>
        <w:t>Intel Corporation, 3GPP WG RAN1 #94, Gothenburg, Sweden, August 20-24, 2018.</w:t>
      </w:r>
      <w:bookmarkEnd w:id="16"/>
    </w:p>
    <w:p w:rsidR="002B4127" w:rsidRPr="0002053B" w:rsidRDefault="002B4127" w:rsidP="002B4127">
      <w:pPr>
        <w:pStyle w:val="ListParagraph"/>
        <w:numPr>
          <w:ilvl w:val="0"/>
          <w:numId w:val="5"/>
        </w:numPr>
        <w:ind w:left="900" w:hanging="540"/>
        <w:jc w:val="both"/>
        <w:rPr>
          <w:szCs w:val="20"/>
        </w:rPr>
      </w:pPr>
      <w:bookmarkStart w:id="17" w:name="_Ref521703887"/>
      <w:r>
        <w:rPr>
          <w:szCs w:val="20"/>
        </w:rPr>
        <w:t xml:space="preserve">R1-1808713, </w:t>
      </w:r>
      <w:r>
        <w:rPr>
          <w:i/>
          <w:szCs w:val="20"/>
        </w:rPr>
        <w:t xml:space="preserve">User Experienced Data Rate Evaluation for Dense Urban eMBB, </w:t>
      </w:r>
      <w:r>
        <w:rPr>
          <w:szCs w:val="20"/>
        </w:rPr>
        <w:t>Intel Corporation, 3GPP WG RAN1 #94, Gothenburg, Sweden, August 20-24, 2018.</w:t>
      </w:r>
      <w:bookmarkEnd w:id="17"/>
    </w:p>
    <w:p w:rsidR="002B4127" w:rsidRDefault="002B4127" w:rsidP="002B4127">
      <w:pPr>
        <w:pStyle w:val="ListParagraph"/>
        <w:numPr>
          <w:ilvl w:val="0"/>
          <w:numId w:val="5"/>
        </w:numPr>
        <w:ind w:left="900" w:hanging="540"/>
        <w:jc w:val="both"/>
        <w:rPr>
          <w:szCs w:val="20"/>
        </w:rPr>
      </w:pPr>
      <w:bookmarkStart w:id="18" w:name="_Ref521704601"/>
      <w:r>
        <w:rPr>
          <w:szCs w:val="20"/>
        </w:rPr>
        <w:t xml:space="preserve">R1-1808714, </w:t>
      </w:r>
      <w:r w:rsidRPr="002B4127">
        <w:rPr>
          <w:i/>
          <w:szCs w:val="20"/>
        </w:rPr>
        <w:t>Summary of Email Discussion on NR SLS Overhead Calculation for IMT-2020 Self-Evaluation</w:t>
      </w:r>
      <w:r>
        <w:rPr>
          <w:i/>
          <w:szCs w:val="20"/>
        </w:rPr>
        <w:t xml:space="preserve">, </w:t>
      </w:r>
      <w:r>
        <w:rPr>
          <w:szCs w:val="20"/>
        </w:rPr>
        <w:t>Intel Corporation, 3GPP WG RAN1 #94, Gothenburg, Sweden, August 20-24, 2018.</w:t>
      </w:r>
      <w:bookmarkEnd w:id="18"/>
    </w:p>
    <w:p w:rsidR="0007786A" w:rsidRPr="0002053B" w:rsidRDefault="0007786A" w:rsidP="0007786A">
      <w:pPr>
        <w:pStyle w:val="ListParagraph"/>
        <w:numPr>
          <w:ilvl w:val="0"/>
          <w:numId w:val="5"/>
        </w:numPr>
        <w:ind w:left="900" w:hanging="540"/>
        <w:jc w:val="both"/>
        <w:rPr>
          <w:szCs w:val="20"/>
        </w:rPr>
      </w:pPr>
      <w:bookmarkStart w:id="19" w:name="_Ref521705498"/>
      <w:r>
        <w:rPr>
          <w:szCs w:val="20"/>
        </w:rPr>
        <w:t xml:space="preserve">R1-1808716, </w:t>
      </w:r>
      <w:r>
        <w:rPr>
          <w:i/>
          <w:szCs w:val="20"/>
        </w:rPr>
        <w:t xml:space="preserve">Connection Density Evaluation for mMTC, </w:t>
      </w:r>
      <w:r>
        <w:rPr>
          <w:szCs w:val="20"/>
        </w:rPr>
        <w:t>Intel Corporation, 3GPP WG RAN1 #94, Gothenburg, Sweden, August 20-24, 2018.</w:t>
      </w:r>
      <w:bookmarkEnd w:id="19"/>
    </w:p>
    <w:p w:rsidR="0007786A" w:rsidRDefault="0007786A" w:rsidP="0007786A">
      <w:pPr>
        <w:pStyle w:val="ListParagraph"/>
        <w:numPr>
          <w:ilvl w:val="0"/>
          <w:numId w:val="5"/>
        </w:numPr>
        <w:ind w:left="900" w:hanging="540"/>
        <w:jc w:val="both"/>
        <w:rPr>
          <w:szCs w:val="20"/>
        </w:rPr>
      </w:pPr>
      <w:bookmarkStart w:id="20" w:name="_Ref521705461"/>
      <w:r>
        <w:rPr>
          <w:szCs w:val="20"/>
        </w:rPr>
        <w:t xml:space="preserve">R1-1808717, </w:t>
      </w:r>
      <w:r>
        <w:rPr>
          <w:i/>
          <w:szCs w:val="20"/>
        </w:rPr>
        <w:t xml:space="preserve">Reliability Evaluation for URLLC, </w:t>
      </w:r>
      <w:r>
        <w:rPr>
          <w:szCs w:val="20"/>
        </w:rPr>
        <w:t>Intel Corporation, 3GPP WG RAN1 #94, Gothenburg, Sweden, August 20-24, 2018.</w:t>
      </w:r>
      <w:bookmarkEnd w:id="20"/>
    </w:p>
    <w:p w:rsidR="00B362D0" w:rsidRPr="00B362D0" w:rsidRDefault="0041286A" w:rsidP="00A21BF2">
      <w:pPr>
        <w:pStyle w:val="ListParagraph"/>
        <w:numPr>
          <w:ilvl w:val="0"/>
          <w:numId w:val="5"/>
        </w:numPr>
        <w:ind w:left="900" w:hanging="540"/>
        <w:jc w:val="both"/>
      </w:pPr>
      <w:bookmarkStart w:id="21" w:name="_Ref521715863"/>
      <w:r w:rsidRPr="0041286A">
        <w:rPr>
          <w:szCs w:val="20"/>
        </w:rPr>
        <w:t>R1-</w:t>
      </w:r>
      <w:r w:rsidRPr="0041286A">
        <w:rPr>
          <w:szCs w:val="20"/>
        </w:rPr>
        <w:t>1808</w:t>
      </w:r>
      <w:r>
        <w:rPr>
          <w:szCs w:val="20"/>
        </w:rPr>
        <w:t>674</w:t>
      </w:r>
      <w:r w:rsidRPr="0041286A">
        <w:rPr>
          <w:szCs w:val="20"/>
        </w:rPr>
        <w:t xml:space="preserve">, </w:t>
      </w:r>
      <w:r>
        <w:rPr>
          <w:i/>
          <w:szCs w:val="20"/>
        </w:rPr>
        <w:t>NR Scheduling and HARQ Procedures</w:t>
      </w:r>
      <w:r w:rsidRPr="0041286A">
        <w:rPr>
          <w:i/>
          <w:szCs w:val="20"/>
        </w:rPr>
        <w:t xml:space="preserve">, </w:t>
      </w:r>
      <w:r w:rsidRPr="0041286A">
        <w:rPr>
          <w:szCs w:val="20"/>
        </w:rPr>
        <w:t>Intel Corporation, 3GPP WG RAN1 #94, Gothenburg, Sweden, August 20-24, 2018.</w:t>
      </w:r>
      <w:bookmarkEnd w:id="21"/>
    </w:p>
    <w:sectPr w:rsidR="00B362D0" w:rsidRPr="00B362D0" w:rsidSect="00BB3840">
      <w:pgSz w:w="12240" w:h="15840"/>
      <w:pgMar w:top="1267" w:right="1166" w:bottom="1440" w:left="1166"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5428" w:rsidRDefault="00C15428" w:rsidP="001034B1">
      <w:r>
        <w:separator/>
      </w:r>
    </w:p>
  </w:endnote>
  <w:endnote w:type="continuationSeparator" w:id="0">
    <w:p w:rsidR="00C15428" w:rsidRDefault="00C15428" w:rsidP="00103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5428" w:rsidRDefault="00C15428" w:rsidP="001034B1">
      <w:r>
        <w:separator/>
      </w:r>
    </w:p>
  </w:footnote>
  <w:footnote w:type="continuationSeparator" w:id="0">
    <w:p w:rsidR="00C15428" w:rsidRDefault="00C15428" w:rsidP="001034B1">
      <w:r>
        <w:continuationSeparator/>
      </w:r>
    </w:p>
  </w:footnote>
  <w:footnote w:id="1">
    <w:p w:rsidR="00BE55BD" w:rsidRDefault="00BE55BD" w:rsidP="001034B1">
      <w:pPr>
        <w:pStyle w:val="FootnoteText"/>
      </w:pPr>
      <w:r>
        <w:rPr>
          <w:rStyle w:val="FootnoteReference"/>
        </w:rPr>
        <w:footnoteRef/>
      </w:r>
      <w:r>
        <w:t xml:space="preserve"> </w:t>
      </w:r>
      <w:r w:rsidRPr="00597FD1">
        <w:rPr>
          <w:sz w:val="18"/>
        </w:rPr>
        <w:t>For detailed system level evaluation assumptions and results, interested readers are referred to our companion contribution</w:t>
      </w:r>
      <w:r>
        <w:rPr>
          <w:sz w:val="18"/>
        </w:rPr>
        <w:t xml:space="preserve"> </w:t>
      </w:r>
      <w:r>
        <w:rPr>
          <w:sz w:val="18"/>
        </w:rPr>
        <w:fldChar w:fldCharType="begin"/>
      </w:r>
      <w:r>
        <w:rPr>
          <w:sz w:val="18"/>
        </w:rPr>
        <w:instrText xml:space="preserve"> REF _Ref521703956 \r \h </w:instrText>
      </w:r>
      <w:r>
        <w:rPr>
          <w:sz w:val="18"/>
        </w:rPr>
      </w:r>
      <w:r>
        <w:rPr>
          <w:sz w:val="18"/>
        </w:rPr>
        <w:fldChar w:fldCharType="separate"/>
      </w:r>
      <w:r>
        <w:rPr>
          <w:sz w:val="18"/>
        </w:rPr>
        <w:t>[12]</w:t>
      </w:r>
      <w:r>
        <w:rPr>
          <w:sz w:val="18"/>
        </w:rPr>
        <w:fldChar w:fldCharType="end"/>
      </w:r>
      <w:r>
        <w:rPr>
          <w:sz w:val="18"/>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D2763"/>
    <w:multiLevelType w:val="hybridMultilevel"/>
    <w:tmpl w:val="C2ACE582"/>
    <w:lvl w:ilvl="0" w:tplc="7068B44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9E7758"/>
    <w:multiLevelType w:val="hybridMultilevel"/>
    <w:tmpl w:val="7DA6D8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9B5AC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D1D18EF"/>
    <w:multiLevelType w:val="hybridMultilevel"/>
    <w:tmpl w:val="6660D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B40E3A"/>
    <w:multiLevelType w:val="hybridMultilevel"/>
    <w:tmpl w:val="3DB22836"/>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5" w15:restartNumberingAfterBreak="0">
    <w:nsid w:val="31F076D8"/>
    <w:multiLevelType w:val="multilevel"/>
    <w:tmpl w:val="F7B0CDFE"/>
    <w:lvl w:ilvl="0">
      <w:start w:val="1"/>
      <w:numFmt w:val="decimal"/>
      <w:lvlText w:val="%1."/>
      <w:lvlJc w:val="left"/>
      <w:pPr>
        <w:ind w:left="36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2"/>
      <w:numFmt w:val="decimal"/>
      <w:pStyle w:val="Style1"/>
      <w:isLgl/>
      <w:lvlText w:val="%1.%2"/>
      <w:lvlJc w:val="left"/>
      <w:pPr>
        <w:ind w:left="720" w:hanging="720"/>
      </w:pPr>
      <w:rPr>
        <w:rFonts w:hint="default"/>
        <w:b w:val="0"/>
        <w:i w:val="0"/>
        <w:sz w:val="24"/>
      </w:rPr>
    </w:lvl>
    <w:lvl w:ilvl="2">
      <w:start w:val="1"/>
      <w:numFmt w:val="decimal"/>
      <w:isLgl/>
      <w:lvlText w:val="%1.%2.%3"/>
      <w:lvlJc w:val="left"/>
      <w:pPr>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32175C33"/>
    <w:multiLevelType w:val="multilevel"/>
    <w:tmpl w:val="BB7E87F2"/>
    <w:lvl w:ilvl="0">
      <w:start w:val="1"/>
      <w:numFmt w:val="decimal"/>
      <w:lvlText w:val="%1."/>
      <w:lvlJc w:val="left"/>
      <w:pPr>
        <w:ind w:left="360" w:hanging="360"/>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68B0EC4"/>
    <w:multiLevelType w:val="hybridMultilevel"/>
    <w:tmpl w:val="D5C474B6"/>
    <w:lvl w:ilvl="0" w:tplc="02200334">
      <w:start w:val="1"/>
      <w:numFmt w:val="decimal"/>
      <w:lvlText w:val="[%1]"/>
      <w:lvlJc w:val="left"/>
      <w:pPr>
        <w:ind w:left="720" w:hanging="360"/>
      </w:pPr>
      <w:rPr>
        <w:rFonts w:ascii="Times New Roman" w:hAnsi="Times New Roman" w:cs="Times New Roman" w:hint="default"/>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4C5DA9"/>
    <w:multiLevelType w:val="hybridMultilevel"/>
    <w:tmpl w:val="AF46A0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1">
      <w:start w:val="1"/>
      <w:numFmt w:val="bullet"/>
      <w:lvlText w:val=""/>
      <w:lvlJc w:val="left"/>
      <w:pPr>
        <w:ind w:left="2520" w:hanging="360"/>
      </w:pPr>
      <w:rPr>
        <w:rFonts w:ascii="Symbol" w:hAnsi="Symbol"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F6B77D6"/>
    <w:multiLevelType w:val="hybridMultilevel"/>
    <w:tmpl w:val="355EDD1A"/>
    <w:lvl w:ilvl="0" w:tplc="43B00BEC">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CA19DF"/>
    <w:multiLevelType w:val="hybridMultilevel"/>
    <w:tmpl w:val="4252A436"/>
    <w:lvl w:ilvl="0" w:tplc="0409001B">
      <w:start w:val="1"/>
      <w:numFmt w:val="lowerRoman"/>
      <w:lvlText w:val="%1."/>
      <w:lvlJc w:val="right"/>
      <w:pPr>
        <w:ind w:left="720" w:hanging="360"/>
      </w:pPr>
      <w:rPr>
        <w:rFonts w:hint="default"/>
        <w:b w:val="0"/>
        <w:i w:val="0"/>
        <w:caps w:val="0"/>
        <w:strike w:val="0"/>
        <w:dstrike w:val="0"/>
        <w:outline w:val="0"/>
        <w:shadow w:val="0"/>
        <w:emboss w:val="0"/>
        <w:imprint w:val="0"/>
        <w:vanish w:val="0"/>
        <w:sz w:val="20"/>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7F6BE5"/>
    <w:multiLevelType w:val="multilevel"/>
    <w:tmpl w:val="5E2C5B84"/>
    <w:lvl w:ilvl="0">
      <w:start w:val="1"/>
      <w:numFmt w:val="decimal"/>
      <w:lvlText w:val="%1"/>
      <w:lvlJc w:val="left"/>
      <w:pPr>
        <w:ind w:left="36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isLgl/>
      <w:lvlText w:val="%1.%2"/>
      <w:lvlJc w:val="left"/>
      <w:pPr>
        <w:ind w:left="1080" w:hanging="720"/>
      </w:pPr>
      <w:rPr>
        <w:rFonts w:ascii="Arial" w:hAnsi="Arial" w:cs="Arial" w:hint="default"/>
        <w:sz w:val="24"/>
      </w:rPr>
    </w:lvl>
    <w:lvl w:ilvl="2">
      <w:start w:val="1"/>
      <w:numFmt w:val="decimal"/>
      <w:pStyle w:val="Heading3"/>
      <w:isLgl/>
      <w:lvlText w:val="%1.%2.%3"/>
      <w:lvlJc w:val="left"/>
      <w:pPr>
        <w:ind w:left="1080" w:hanging="720"/>
      </w:pPr>
      <w:rPr>
        <w:rFonts w:hint="default"/>
      </w:rPr>
    </w:lvl>
    <w:lvl w:ilvl="3">
      <w:start w:val="1"/>
      <w:numFmt w:val="decimal"/>
      <w:pStyle w:val="Heading4"/>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5785589D"/>
    <w:multiLevelType w:val="hybridMultilevel"/>
    <w:tmpl w:val="70981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4573B2"/>
    <w:multiLevelType w:val="hybridMultilevel"/>
    <w:tmpl w:val="57FA6288"/>
    <w:lvl w:ilvl="0" w:tplc="5FBC4210">
      <w:start w:val="1"/>
      <w:numFmt w:val="decimal"/>
      <w:pStyle w:val="Heading1"/>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BC10FB"/>
    <w:multiLevelType w:val="hybridMultilevel"/>
    <w:tmpl w:val="9DC88D22"/>
    <w:lvl w:ilvl="0" w:tplc="ECA2B84A">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B64B0C"/>
    <w:multiLevelType w:val="hybridMultilevel"/>
    <w:tmpl w:val="AC1C3CD8"/>
    <w:lvl w:ilvl="0" w:tplc="1A103EC0">
      <w:start w:val="4"/>
      <w:numFmt w:val="decimal"/>
      <w:lvlText w:val="%1."/>
      <w:lvlJc w:val="left"/>
      <w:pPr>
        <w:ind w:left="75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E04240"/>
    <w:multiLevelType w:val="hybridMultilevel"/>
    <w:tmpl w:val="BE5EC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2"/>
  </w:num>
  <w:num w:numId="4">
    <w:abstractNumId w:val="10"/>
  </w:num>
  <w:num w:numId="5">
    <w:abstractNumId w:val="15"/>
  </w:num>
  <w:num w:numId="6">
    <w:abstractNumId w:val="4"/>
  </w:num>
  <w:num w:numId="7">
    <w:abstractNumId w:val="8"/>
  </w:num>
  <w:num w:numId="8">
    <w:abstractNumId w:val="7"/>
  </w:num>
  <w:num w:numId="9">
    <w:abstractNumId w:val="0"/>
  </w:num>
  <w:num w:numId="10">
    <w:abstractNumId w:val="12"/>
  </w:num>
  <w:num w:numId="11">
    <w:abstractNumId w:val="9"/>
  </w:num>
  <w:num w:numId="12">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1"/>
  </w:num>
  <w:num w:numId="16">
    <w:abstractNumId w:val="14"/>
  </w:num>
  <w:num w:numId="17">
    <w:abstractNumId w:val="16"/>
  </w:num>
  <w:num w:numId="18">
    <w:abstractNumId w:val="13"/>
  </w:num>
  <w:num w:numId="19">
    <w:abstractNumId w:val="17"/>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0B2"/>
    <w:rsid w:val="00003AA9"/>
    <w:rsid w:val="0007786A"/>
    <w:rsid w:val="000A223F"/>
    <w:rsid w:val="000A59C5"/>
    <w:rsid w:val="000A6E79"/>
    <w:rsid w:val="000B6A82"/>
    <w:rsid w:val="000E15FB"/>
    <w:rsid w:val="001034B1"/>
    <w:rsid w:val="0011633D"/>
    <w:rsid w:val="00173377"/>
    <w:rsid w:val="00264C07"/>
    <w:rsid w:val="00265C80"/>
    <w:rsid w:val="002969B3"/>
    <w:rsid w:val="002A149C"/>
    <w:rsid w:val="002B4127"/>
    <w:rsid w:val="003930DD"/>
    <w:rsid w:val="0041286A"/>
    <w:rsid w:val="004332F5"/>
    <w:rsid w:val="0043418F"/>
    <w:rsid w:val="0044590C"/>
    <w:rsid w:val="00562155"/>
    <w:rsid w:val="005A7A9F"/>
    <w:rsid w:val="00685876"/>
    <w:rsid w:val="00737088"/>
    <w:rsid w:val="00791335"/>
    <w:rsid w:val="007A2008"/>
    <w:rsid w:val="007C60B2"/>
    <w:rsid w:val="007E6757"/>
    <w:rsid w:val="00832135"/>
    <w:rsid w:val="008558A6"/>
    <w:rsid w:val="00867ECF"/>
    <w:rsid w:val="008908F6"/>
    <w:rsid w:val="00951EFF"/>
    <w:rsid w:val="009A730D"/>
    <w:rsid w:val="00A173C6"/>
    <w:rsid w:val="00A70B81"/>
    <w:rsid w:val="00A868BF"/>
    <w:rsid w:val="00AD20CC"/>
    <w:rsid w:val="00B362D0"/>
    <w:rsid w:val="00B93E32"/>
    <w:rsid w:val="00BA3568"/>
    <w:rsid w:val="00BB3840"/>
    <w:rsid w:val="00BB388E"/>
    <w:rsid w:val="00BE55BD"/>
    <w:rsid w:val="00C122DB"/>
    <w:rsid w:val="00C15428"/>
    <w:rsid w:val="00C764C5"/>
    <w:rsid w:val="00C84511"/>
    <w:rsid w:val="00CC6619"/>
    <w:rsid w:val="00D26517"/>
    <w:rsid w:val="00D82909"/>
    <w:rsid w:val="00D86DD5"/>
    <w:rsid w:val="00E026EC"/>
    <w:rsid w:val="00E6329E"/>
    <w:rsid w:val="00EB1502"/>
    <w:rsid w:val="00EB4816"/>
    <w:rsid w:val="00EB66C2"/>
    <w:rsid w:val="00EC3412"/>
    <w:rsid w:val="00F061D0"/>
    <w:rsid w:val="00F340B0"/>
    <w:rsid w:val="00F36A7F"/>
    <w:rsid w:val="00F72501"/>
    <w:rsid w:val="00F909D5"/>
    <w:rsid w:val="00FA15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1D6FBDC4-F4A3-459E-BBCC-A553205C9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20CC"/>
    <w:pPr>
      <w:spacing w:after="0" w:line="240" w:lineRule="auto"/>
    </w:pPr>
    <w:rPr>
      <w:rFonts w:ascii="Times New Roman" w:eastAsiaTheme="minorEastAsia" w:hAnsi="Times New Roman" w:cs="Times New Roman"/>
      <w:sz w:val="20"/>
      <w:szCs w:val="24"/>
    </w:rPr>
  </w:style>
  <w:style w:type="paragraph" w:styleId="Heading1">
    <w:name w:val="heading 1"/>
    <w:basedOn w:val="Normal"/>
    <w:next w:val="Normal"/>
    <w:link w:val="Heading1Char"/>
    <w:autoRedefine/>
    <w:qFormat/>
    <w:rsid w:val="009A730D"/>
    <w:pPr>
      <w:keepNext/>
      <w:numPr>
        <w:numId w:val="16"/>
      </w:numPr>
      <w:pBdr>
        <w:top w:val="single" w:sz="8" w:space="5" w:color="auto"/>
      </w:pBdr>
      <w:spacing w:before="240" w:after="60"/>
      <w:ind w:left="0" w:firstLine="0"/>
      <w:outlineLvl w:val="0"/>
    </w:pPr>
    <w:rPr>
      <w:rFonts w:ascii="Arial" w:eastAsiaTheme="majorEastAsia" w:hAnsi="Arial" w:cs="Arial"/>
      <w:bCs/>
      <w:kern w:val="32"/>
      <w:sz w:val="28"/>
      <w:szCs w:val="32"/>
      <w:lang w:val="en-GB"/>
    </w:rPr>
  </w:style>
  <w:style w:type="paragraph" w:styleId="Heading2">
    <w:name w:val="heading 2"/>
    <w:basedOn w:val="Style1"/>
    <w:next w:val="Normal"/>
    <w:link w:val="Heading2Char"/>
    <w:uiPriority w:val="9"/>
    <w:unhideWhenUsed/>
    <w:qFormat/>
    <w:rsid w:val="0011633D"/>
    <w:pPr>
      <w:numPr>
        <w:numId w:val="10"/>
      </w:numPr>
    </w:pPr>
  </w:style>
  <w:style w:type="paragraph" w:styleId="Heading3">
    <w:name w:val="heading 3"/>
    <w:basedOn w:val="Heading2"/>
    <w:next w:val="Normal"/>
    <w:link w:val="Heading3Char"/>
    <w:uiPriority w:val="9"/>
    <w:unhideWhenUsed/>
    <w:qFormat/>
    <w:rsid w:val="00A868BF"/>
    <w:pPr>
      <w:numPr>
        <w:ilvl w:val="2"/>
      </w:numPr>
      <w:outlineLvl w:val="2"/>
    </w:pPr>
  </w:style>
  <w:style w:type="paragraph" w:styleId="Heading4">
    <w:name w:val="heading 4"/>
    <w:basedOn w:val="Heading3"/>
    <w:next w:val="Normal"/>
    <w:link w:val="Heading4Char"/>
    <w:uiPriority w:val="9"/>
    <w:unhideWhenUsed/>
    <w:qFormat/>
    <w:rsid w:val="00A868BF"/>
    <w:pPr>
      <w:numPr>
        <w:ilvl w:val="3"/>
      </w:numPr>
      <w:outlineLvl w:val="3"/>
    </w:pPr>
  </w:style>
  <w:style w:type="paragraph" w:styleId="Heading5">
    <w:name w:val="heading 5"/>
    <w:basedOn w:val="Normal"/>
    <w:next w:val="Normal"/>
    <w:link w:val="Heading5Char"/>
    <w:uiPriority w:val="9"/>
    <w:semiHidden/>
    <w:unhideWhenUsed/>
    <w:qFormat/>
    <w:rsid w:val="00B362D0"/>
    <w:pPr>
      <w:keepNext/>
      <w:keepLines/>
      <w:numPr>
        <w:ilvl w:val="4"/>
        <w:numId w:val="2"/>
      </w:num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B362D0"/>
    <w:pPr>
      <w:keepNext/>
      <w:keepLines/>
      <w:numPr>
        <w:ilvl w:val="5"/>
        <w:numId w:val="2"/>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B362D0"/>
    <w:pPr>
      <w:keepNext/>
      <w:keepLines/>
      <w:numPr>
        <w:ilvl w:val="6"/>
        <w:numId w:val="2"/>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B362D0"/>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362D0"/>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730D"/>
    <w:rPr>
      <w:rFonts w:ascii="Arial" w:eastAsiaTheme="majorEastAsia" w:hAnsi="Arial" w:cs="Arial"/>
      <w:bCs/>
      <w:kern w:val="32"/>
      <w:sz w:val="28"/>
      <w:szCs w:val="32"/>
      <w:lang w:val="en-GB"/>
    </w:rPr>
  </w:style>
  <w:style w:type="paragraph" w:customStyle="1" w:styleId="Style1">
    <w:name w:val="Style1"/>
    <w:basedOn w:val="ListParagraph"/>
    <w:next w:val="Heading3"/>
    <w:qFormat/>
    <w:rsid w:val="00AD20CC"/>
    <w:pPr>
      <w:keepNext/>
      <w:widowControl w:val="0"/>
      <w:numPr>
        <w:ilvl w:val="1"/>
        <w:numId w:val="1"/>
      </w:numPr>
      <w:spacing w:before="240" w:after="60"/>
      <w:outlineLvl w:val="1"/>
    </w:pPr>
    <w:rPr>
      <w:rFonts w:ascii="Arial" w:eastAsia="Batang" w:hAnsi="Arial"/>
      <w:bCs/>
      <w:iCs/>
      <w:sz w:val="24"/>
      <w:szCs w:val="28"/>
      <w:lang w:val="en-GB" w:eastAsia="x-none"/>
    </w:rPr>
  </w:style>
  <w:style w:type="paragraph" w:styleId="ListParagraph">
    <w:name w:val="List Paragraph"/>
    <w:basedOn w:val="Normal"/>
    <w:link w:val="ListParagraphChar"/>
    <w:uiPriority w:val="34"/>
    <w:qFormat/>
    <w:rsid w:val="00B362D0"/>
    <w:pPr>
      <w:ind w:left="720"/>
      <w:contextualSpacing/>
    </w:pPr>
  </w:style>
  <w:style w:type="character" w:customStyle="1" w:styleId="Heading3Char">
    <w:name w:val="Heading 3 Char"/>
    <w:basedOn w:val="DefaultParagraphFont"/>
    <w:link w:val="Heading3"/>
    <w:uiPriority w:val="9"/>
    <w:rsid w:val="00A868BF"/>
    <w:rPr>
      <w:rFonts w:ascii="Arial" w:eastAsia="Batang" w:hAnsi="Arial" w:cs="Times New Roman"/>
      <w:bCs/>
      <w:iCs/>
      <w:sz w:val="24"/>
      <w:szCs w:val="28"/>
      <w:lang w:val="en-GB" w:eastAsia="x-none"/>
    </w:rPr>
  </w:style>
  <w:style w:type="character" w:customStyle="1" w:styleId="Heading2Char">
    <w:name w:val="Heading 2 Char"/>
    <w:basedOn w:val="DefaultParagraphFont"/>
    <w:link w:val="Heading2"/>
    <w:uiPriority w:val="9"/>
    <w:rsid w:val="0011633D"/>
    <w:rPr>
      <w:rFonts w:ascii="Arial" w:eastAsia="Batang" w:hAnsi="Arial" w:cs="Times New Roman"/>
      <w:bCs/>
      <w:iCs/>
      <w:sz w:val="24"/>
      <w:szCs w:val="28"/>
      <w:lang w:val="en-GB" w:eastAsia="x-none"/>
    </w:rPr>
  </w:style>
  <w:style w:type="character" w:customStyle="1" w:styleId="Heading4Char">
    <w:name w:val="Heading 4 Char"/>
    <w:basedOn w:val="DefaultParagraphFont"/>
    <w:link w:val="Heading4"/>
    <w:uiPriority w:val="9"/>
    <w:rsid w:val="00A868BF"/>
    <w:rPr>
      <w:rFonts w:ascii="Arial" w:eastAsia="Batang" w:hAnsi="Arial" w:cs="Times New Roman"/>
      <w:bCs/>
      <w:iCs/>
      <w:sz w:val="24"/>
      <w:szCs w:val="28"/>
      <w:lang w:val="en-GB" w:eastAsia="x-none"/>
    </w:rPr>
  </w:style>
  <w:style w:type="character" w:customStyle="1" w:styleId="Heading5Char">
    <w:name w:val="Heading 5 Char"/>
    <w:basedOn w:val="DefaultParagraphFont"/>
    <w:link w:val="Heading5"/>
    <w:uiPriority w:val="9"/>
    <w:semiHidden/>
    <w:rsid w:val="00B362D0"/>
    <w:rPr>
      <w:rFonts w:asciiTheme="majorHAnsi" w:eastAsiaTheme="majorEastAsia" w:hAnsiTheme="majorHAnsi" w:cstheme="majorBidi"/>
      <w:color w:val="2E74B5" w:themeColor="accent1" w:themeShade="BF"/>
      <w:sz w:val="24"/>
      <w:szCs w:val="24"/>
    </w:rPr>
  </w:style>
  <w:style w:type="character" w:customStyle="1" w:styleId="Heading6Char">
    <w:name w:val="Heading 6 Char"/>
    <w:basedOn w:val="DefaultParagraphFont"/>
    <w:link w:val="Heading6"/>
    <w:uiPriority w:val="9"/>
    <w:semiHidden/>
    <w:rsid w:val="00B362D0"/>
    <w:rPr>
      <w:rFonts w:asciiTheme="majorHAnsi" w:eastAsiaTheme="majorEastAsia" w:hAnsiTheme="majorHAnsi" w:cstheme="majorBidi"/>
      <w:color w:val="1F4D78" w:themeColor="accent1" w:themeShade="7F"/>
      <w:sz w:val="24"/>
      <w:szCs w:val="24"/>
    </w:rPr>
  </w:style>
  <w:style w:type="character" w:customStyle="1" w:styleId="Heading7Char">
    <w:name w:val="Heading 7 Char"/>
    <w:basedOn w:val="DefaultParagraphFont"/>
    <w:link w:val="Heading7"/>
    <w:uiPriority w:val="9"/>
    <w:semiHidden/>
    <w:rsid w:val="00B362D0"/>
    <w:rPr>
      <w:rFonts w:asciiTheme="majorHAnsi" w:eastAsiaTheme="majorEastAsia" w:hAnsiTheme="majorHAnsi" w:cstheme="majorBidi"/>
      <w:i/>
      <w:iCs/>
      <w:color w:val="1F4D78" w:themeColor="accent1" w:themeShade="7F"/>
      <w:sz w:val="24"/>
      <w:szCs w:val="24"/>
    </w:rPr>
  </w:style>
  <w:style w:type="character" w:customStyle="1" w:styleId="Heading8Char">
    <w:name w:val="Heading 8 Char"/>
    <w:basedOn w:val="DefaultParagraphFont"/>
    <w:link w:val="Heading8"/>
    <w:uiPriority w:val="9"/>
    <w:semiHidden/>
    <w:rsid w:val="00B362D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362D0"/>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qFormat/>
    <w:rsid w:val="00AD20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AD20CC"/>
    <w:pPr>
      <w:numPr>
        <w:numId w:val="4"/>
      </w:numPr>
    </w:pPr>
  </w:style>
  <w:style w:type="character" w:customStyle="1" w:styleId="ListParagraphChar">
    <w:name w:val="List Paragraph Char"/>
    <w:link w:val="ListParagraph"/>
    <w:uiPriority w:val="34"/>
    <w:rsid w:val="00AD20CC"/>
    <w:rPr>
      <w:rFonts w:ascii="Times New Roman" w:eastAsiaTheme="minorEastAsia" w:hAnsi="Times New Roman" w:cs="Times New Roman"/>
      <w:sz w:val="20"/>
      <w:szCs w:val="24"/>
    </w:rPr>
  </w:style>
  <w:style w:type="character" w:customStyle="1" w:styleId="TACChar">
    <w:name w:val="TAC Char"/>
    <w:link w:val="TAC"/>
    <w:locked/>
    <w:rsid w:val="00BB388E"/>
    <w:rPr>
      <w:rFonts w:ascii="SimSun" w:eastAsia="SimSun" w:hAnsi="SimSun"/>
      <w:lang w:val="en-GB" w:eastAsia="x-none"/>
    </w:rPr>
  </w:style>
  <w:style w:type="paragraph" w:customStyle="1" w:styleId="TAC">
    <w:name w:val="TAC"/>
    <w:basedOn w:val="Normal"/>
    <w:link w:val="TACChar"/>
    <w:rsid w:val="00BB388E"/>
    <w:pPr>
      <w:keepLines/>
      <w:spacing w:before="40" w:after="40"/>
      <w:jc w:val="center"/>
    </w:pPr>
    <w:rPr>
      <w:rFonts w:ascii="SimSun" w:eastAsia="SimSun" w:hAnsi="SimSun" w:cstheme="minorBidi"/>
      <w:sz w:val="22"/>
      <w:szCs w:val="22"/>
      <w:lang w:val="en-GB" w:eastAsia="x-none"/>
    </w:rPr>
  </w:style>
  <w:style w:type="character" w:customStyle="1" w:styleId="TAHCar">
    <w:name w:val="TAH Car"/>
    <w:link w:val="TAH"/>
    <w:locked/>
    <w:rsid w:val="00BB388E"/>
    <w:rPr>
      <w:rFonts w:ascii="Arial" w:eastAsia="Times New Roman" w:hAnsi="Arial" w:cs="Arial"/>
      <w:b/>
      <w:sz w:val="18"/>
      <w:lang w:val="en-GB" w:eastAsia="en-GB"/>
    </w:rPr>
  </w:style>
  <w:style w:type="paragraph" w:customStyle="1" w:styleId="TAH">
    <w:name w:val="TAH"/>
    <w:basedOn w:val="TAC"/>
    <w:link w:val="TAHCar"/>
    <w:rsid w:val="00BB388E"/>
    <w:pPr>
      <w:keepNext/>
      <w:overflowPunct w:val="0"/>
      <w:autoSpaceDE w:val="0"/>
      <w:autoSpaceDN w:val="0"/>
      <w:adjustRightInd w:val="0"/>
      <w:spacing w:before="0" w:after="0"/>
    </w:pPr>
    <w:rPr>
      <w:rFonts w:ascii="Arial" w:eastAsia="Times New Roman" w:hAnsi="Arial" w:cs="Arial"/>
      <w:b/>
      <w:sz w:val="18"/>
      <w:lang w:eastAsia="en-GB"/>
    </w:rPr>
  </w:style>
  <w:style w:type="character" w:customStyle="1" w:styleId="THChar">
    <w:name w:val="TH Char"/>
    <w:link w:val="TH"/>
    <w:locked/>
    <w:rsid w:val="00BB388E"/>
    <w:rPr>
      <w:rFonts w:ascii="Arial" w:eastAsia="Times New Roman" w:hAnsi="Arial" w:cs="Arial"/>
      <w:b/>
      <w:lang w:val="en-GB" w:eastAsia="en-GB"/>
    </w:rPr>
  </w:style>
  <w:style w:type="paragraph" w:customStyle="1" w:styleId="TH">
    <w:name w:val="TH"/>
    <w:basedOn w:val="Normal"/>
    <w:link w:val="THChar"/>
    <w:rsid w:val="00BB388E"/>
    <w:pPr>
      <w:keepNext/>
      <w:keepLines/>
      <w:overflowPunct w:val="0"/>
      <w:autoSpaceDE w:val="0"/>
      <w:autoSpaceDN w:val="0"/>
      <w:adjustRightInd w:val="0"/>
      <w:spacing w:before="60" w:after="180"/>
      <w:jc w:val="center"/>
    </w:pPr>
    <w:rPr>
      <w:rFonts w:ascii="Arial" w:eastAsia="Times New Roman" w:hAnsi="Arial" w:cs="Arial"/>
      <w:b/>
      <w:sz w:val="22"/>
      <w:szCs w:val="22"/>
      <w:lang w:val="en-GB" w:eastAsia="en-GB"/>
    </w:rPr>
  </w:style>
  <w:style w:type="table" w:customStyle="1" w:styleId="TableGrid2">
    <w:name w:val="Table Grid2"/>
    <w:basedOn w:val="TableNormal"/>
    <w:next w:val="TableGrid"/>
    <w:qFormat/>
    <w:rsid w:val="000A223F"/>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51EFF"/>
    <w:pPr>
      <w:spacing w:after="200"/>
    </w:pPr>
    <w:rPr>
      <w:i/>
      <w:iCs/>
      <w:color w:val="44546A" w:themeColor="text2"/>
      <w:sz w:val="18"/>
      <w:szCs w:val="18"/>
    </w:rPr>
  </w:style>
  <w:style w:type="paragraph" w:customStyle="1" w:styleId="MTDisplayEquation">
    <w:name w:val="MTDisplayEquation"/>
    <w:basedOn w:val="Normal"/>
    <w:next w:val="Normal"/>
    <w:link w:val="MTDisplayEquationChar"/>
    <w:rsid w:val="00A868BF"/>
    <w:pPr>
      <w:tabs>
        <w:tab w:val="center" w:pos="4960"/>
        <w:tab w:val="right" w:pos="9900"/>
      </w:tabs>
    </w:pPr>
  </w:style>
  <w:style w:type="character" w:customStyle="1" w:styleId="MTDisplayEquationChar">
    <w:name w:val="MTDisplayEquation Char"/>
    <w:basedOn w:val="DefaultParagraphFont"/>
    <w:link w:val="MTDisplayEquation"/>
    <w:rsid w:val="00A868BF"/>
    <w:rPr>
      <w:rFonts w:ascii="Times New Roman" w:eastAsiaTheme="minorEastAsia" w:hAnsi="Times New Roman" w:cs="Times New Roman"/>
      <w:sz w:val="20"/>
      <w:szCs w:val="24"/>
    </w:rPr>
  </w:style>
  <w:style w:type="table" w:customStyle="1" w:styleId="TableGrid1">
    <w:name w:val="Table Grid1"/>
    <w:basedOn w:val="TableNormal"/>
    <w:next w:val="TableGrid"/>
    <w:qFormat/>
    <w:rsid w:val="00E026EC"/>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Char Char Char,Head2A Char,2 Char,H2 Char1,h2 Char1,UNDERRUBRIK 1-2 Char,DO NOT USE_h2 Char,h21 Char,Heading 2 Char Char,H2 Char Char,h2 Char Char"/>
    <w:basedOn w:val="DefaultParagraphFont"/>
    <w:rsid w:val="00E026EC"/>
    <w:rPr>
      <w:rFonts w:ascii="Arial" w:eastAsia="Arial" w:hAnsi="Arial"/>
      <w:sz w:val="32"/>
      <w:lang w:val="en-GB" w:eastAsia="en-US"/>
    </w:rPr>
  </w:style>
  <w:style w:type="paragraph" w:styleId="FootnoteText">
    <w:name w:val="footnote text"/>
    <w:basedOn w:val="Normal"/>
    <w:link w:val="FootnoteTextChar"/>
    <w:uiPriority w:val="99"/>
    <w:semiHidden/>
    <w:unhideWhenUsed/>
    <w:rsid w:val="001034B1"/>
    <w:rPr>
      <w:szCs w:val="20"/>
    </w:rPr>
  </w:style>
  <w:style w:type="character" w:customStyle="1" w:styleId="FootnoteTextChar">
    <w:name w:val="Footnote Text Char"/>
    <w:basedOn w:val="DefaultParagraphFont"/>
    <w:link w:val="FootnoteText"/>
    <w:uiPriority w:val="99"/>
    <w:semiHidden/>
    <w:rsid w:val="001034B1"/>
    <w:rPr>
      <w:rFonts w:ascii="Times New Roman" w:eastAsiaTheme="minorEastAsia" w:hAnsi="Times New Roman" w:cs="Times New Roman"/>
      <w:sz w:val="20"/>
      <w:szCs w:val="20"/>
    </w:rPr>
  </w:style>
  <w:style w:type="character" w:styleId="FootnoteReference">
    <w:name w:val="footnote reference"/>
    <w:basedOn w:val="DefaultParagraphFont"/>
    <w:uiPriority w:val="99"/>
    <w:semiHidden/>
    <w:unhideWhenUsed/>
    <w:rsid w:val="001034B1"/>
    <w:rPr>
      <w:vertAlign w:val="superscript"/>
    </w:rPr>
  </w:style>
  <w:style w:type="paragraph" w:customStyle="1" w:styleId="enumlev1">
    <w:name w:val="enumlev1"/>
    <w:basedOn w:val="Normal"/>
    <w:link w:val="enumlev1Char"/>
    <w:qFormat/>
    <w:rsid w:val="00B93E32"/>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Times New Roman"/>
      <w:sz w:val="24"/>
      <w:szCs w:val="20"/>
      <w:lang w:val="fr-FR"/>
    </w:rPr>
  </w:style>
  <w:style w:type="character" w:customStyle="1" w:styleId="enumlev1Char">
    <w:name w:val="enumlev1 Char"/>
    <w:link w:val="enumlev1"/>
    <w:qFormat/>
    <w:locked/>
    <w:rsid w:val="00B93E32"/>
    <w:rPr>
      <w:rFonts w:ascii="Times New Roman" w:eastAsia="Times New Roman" w:hAnsi="Times New Roman" w:cs="Times New Roman"/>
      <w:sz w:val="24"/>
      <w:szCs w:val="20"/>
      <w:lang w:val="fr-FR"/>
    </w:rPr>
  </w:style>
  <w:style w:type="paragraph" w:customStyle="1" w:styleId="Tablehead">
    <w:name w:val="Table_head"/>
    <w:basedOn w:val="Normal"/>
    <w:next w:val="Normal"/>
    <w:link w:val="TableheadChar"/>
    <w:rsid w:val="00B93E3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val="fr-FR"/>
    </w:rPr>
  </w:style>
  <w:style w:type="paragraph" w:customStyle="1" w:styleId="Tabletext">
    <w:name w:val="Table_text"/>
    <w:basedOn w:val="Normal"/>
    <w:link w:val="TabletextChar"/>
    <w:rsid w:val="00B93E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Times New Roman"/>
      <w:sz w:val="22"/>
      <w:szCs w:val="20"/>
      <w:lang w:val="fr-FR"/>
    </w:rPr>
  </w:style>
  <w:style w:type="character" w:customStyle="1" w:styleId="TableheadChar">
    <w:name w:val="Table_head Char"/>
    <w:basedOn w:val="DefaultParagraphFont"/>
    <w:link w:val="Tablehead"/>
    <w:locked/>
    <w:rsid w:val="00B93E32"/>
    <w:rPr>
      <w:rFonts w:ascii="Times New Roman" w:eastAsia="Times New Roman" w:hAnsi="Times New Roman" w:cs="Times New Roman"/>
      <w:b/>
      <w:szCs w:val="20"/>
      <w:lang w:val="fr-FR"/>
    </w:rPr>
  </w:style>
  <w:style w:type="character" w:customStyle="1" w:styleId="TabletextChar">
    <w:name w:val="Table_text Char"/>
    <w:basedOn w:val="DefaultParagraphFont"/>
    <w:link w:val="Tabletext"/>
    <w:locked/>
    <w:rsid w:val="00B93E32"/>
    <w:rPr>
      <w:rFonts w:ascii="Times New Roman" w:eastAsia="Times New Roman" w:hAnsi="Times New Roman" w:cs="Times New Roman"/>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38384">
      <w:bodyDiv w:val="1"/>
      <w:marLeft w:val="0"/>
      <w:marRight w:val="0"/>
      <w:marTop w:val="0"/>
      <w:marBottom w:val="0"/>
      <w:divBdr>
        <w:top w:val="none" w:sz="0" w:space="0" w:color="auto"/>
        <w:left w:val="none" w:sz="0" w:space="0" w:color="auto"/>
        <w:bottom w:val="none" w:sz="0" w:space="0" w:color="auto"/>
        <w:right w:val="none" w:sz="0" w:space="0" w:color="auto"/>
      </w:divBdr>
    </w:div>
    <w:div w:id="128404521">
      <w:bodyDiv w:val="1"/>
      <w:marLeft w:val="0"/>
      <w:marRight w:val="0"/>
      <w:marTop w:val="0"/>
      <w:marBottom w:val="0"/>
      <w:divBdr>
        <w:top w:val="none" w:sz="0" w:space="0" w:color="auto"/>
        <w:left w:val="none" w:sz="0" w:space="0" w:color="auto"/>
        <w:bottom w:val="none" w:sz="0" w:space="0" w:color="auto"/>
        <w:right w:val="none" w:sz="0" w:space="0" w:color="auto"/>
      </w:divBdr>
    </w:div>
    <w:div w:id="575669409">
      <w:bodyDiv w:val="1"/>
      <w:marLeft w:val="0"/>
      <w:marRight w:val="0"/>
      <w:marTop w:val="0"/>
      <w:marBottom w:val="0"/>
      <w:divBdr>
        <w:top w:val="none" w:sz="0" w:space="0" w:color="auto"/>
        <w:left w:val="none" w:sz="0" w:space="0" w:color="auto"/>
        <w:bottom w:val="none" w:sz="0" w:space="0" w:color="auto"/>
        <w:right w:val="none" w:sz="0" w:space="0" w:color="auto"/>
      </w:divBdr>
    </w:div>
    <w:div w:id="695279154">
      <w:bodyDiv w:val="1"/>
      <w:marLeft w:val="0"/>
      <w:marRight w:val="0"/>
      <w:marTop w:val="0"/>
      <w:marBottom w:val="0"/>
      <w:divBdr>
        <w:top w:val="none" w:sz="0" w:space="0" w:color="auto"/>
        <w:left w:val="none" w:sz="0" w:space="0" w:color="auto"/>
        <w:bottom w:val="none" w:sz="0" w:space="0" w:color="auto"/>
        <w:right w:val="none" w:sz="0" w:space="0" w:color="auto"/>
      </w:divBdr>
    </w:div>
    <w:div w:id="1548908477">
      <w:bodyDiv w:val="1"/>
      <w:marLeft w:val="0"/>
      <w:marRight w:val="0"/>
      <w:marTop w:val="0"/>
      <w:marBottom w:val="0"/>
      <w:divBdr>
        <w:top w:val="none" w:sz="0" w:space="0" w:color="auto"/>
        <w:left w:val="none" w:sz="0" w:space="0" w:color="auto"/>
        <w:bottom w:val="none" w:sz="0" w:space="0" w:color="auto"/>
        <w:right w:val="none" w:sz="0" w:space="0" w:color="auto"/>
      </w:divBdr>
    </w:div>
    <w:div w:id="2066445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7.wmf"/><Relationship Id="rId42" Type="http://schemas.openxmlformats.org/officeDocument/2006/relationships/oleObject" Target="embeddings/oleObject18.bin"/><Relationship Id="rId47" Type="http://schemas.openxmlformats.org/officeDocument/2006/relationships/oleObject" Target="embeddings/oleObject21.bin"/><Relationship Id="rId63" Type="http://schemas.openxmlformats.org/officeDocument/2006/relationships/oleObject" Target="embeddings/oleObject31.bin"/><Relationship Id="rId68" Type="http://schemas.openxmlformats.org/officeDocument/2006/relationships/image" Target="media/image27.wmf"/><Relationship Id="rId84" Type="http://schemas.openxmlformats.org/officeDocument/2006/relationships/oleObject" Target="embeddings/oleObject41.bin"/><Relationship Id="rId89" Type="http://schemas.openxmlformats.org/officeDocument/2006/relationships/image" Target="media/image37.wmf"/><Relationship Id="rId112" Type="http://schemas.openxmlformats.org/officeDocument/2006/relationships/oleObject" Target="embeddings/oleObject55.bin"/><Relationship Id="rId2" Type="http://schemas.openxmlformats.org/officeDocument/2006/relationships/customXml" Target="../customXml/item1.xml"/><Relationship Id="rId16" Type="http://schemas.openxmlformats.org/officeDocument/2006/relationships/oleObject" Target="embeddings/oleObject4.bin"/><Relationship Id="rId29" Type="http://schemas.openxmlformats.org/officeDocument/2006/relationships/image" Target="media/image11.wmf"/><Relationship Id="rId107" Type="http://schemas.openxmlformats.org/officeDocument/2006/relationships/image" Target="media/image46.wmf"/><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image" Target="media/image14.wmf"/><Relationship Id="rId40" Type="http://schemas.openxmlformats.org/officeDocument/2006/relationships/oleObject" Target="embeddings/oleObject17.bin"/><Relationship Id="rId45" Type="http://schemas.openxmlformats.org/officeDocument/2006/relationships/image" Target="media/image18.wmf"/><Relationship Id="rId53" Type="http://schemas.openxmlformats.org/officeDocument/2006/relationships/oleObject" Target="embeddings/oleObject26.bin"/><Relationship Id="rId58" Type="http://schemas.openxmlformats.org/officeDocument/2006/relationships/image" Target="media/image22.wmf"/><Relationship Id="rId66" Type="http://schemas.openxmlformats.org/officeDocument/2006/relationships/image" Target="media/image26.wmf"/><Relationship Id="rId74" Type="http://schemas.openxmlformats.org/officeDocument/2006/relationships/oleObject" Target="embeddings/oleObject37.bin"/><Relationship Id="rId79" Type="http://schemas.openxmlformats.org/officeDocument/2006/relationships/image" Target="media/image32.wmf"/><Relationship Id="rId87" Type="http://schemas.openxmlformats.org/officeDocument/2006/relationships/image" Target="media/image36.wmf"/><Relationship Id="rId102" Type="http://schemas.openxmlformats.org/officeDocument/2006/relationships/oleObject" Target="embeddings/oleObject50.bin"/><Relationship Id="rId110" Type="http://schemas.openxmlformats.org/officeDocument/2006/relationships/oleObject" Target="embeddings/oleObject54.bin"/><Relationship Id="rId5" Type="http://schemas.openxmlformats.org/officeDocument/2006/relationships/settings" Target="settings.xml"/><Relationship Id="rId61" Type="http://schemas.openxmlformats.org/officeDocument/2006/relationships/oleObject" Target="embeddings/oleObject30.bin"/><Relationship Id="rId82" Type="http://schemas.openxmlformats.org/officeDocument/2006/relationships/oleObject" Target="embeddings/oleObject40.bin"/><Relationship Id="rId90" Type="http://schemas.openxmlformats.org/officeDocument/2006/relationships/oleObject" Target="embeddings/oleObject44.bin"/><Relationship Id="rId95" Type="http://schemas.openxmlformats.org/officeDocument/2006/relationships/image" Target="media/image40.wmf"/><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22.bin"/><Relationship Id="rId56" Type="http://schemas.openxmlformats.org/officeDocument/2006/relationships/image" Target="media/image21.wmf"/><Relationship Id="rId64" Type="http://schemas.openxmlformats.org/officeDocument/2006/relationships/image" Target="media/image25.wmf"/><Relationship Id="rId69" Type="http://schemas.openxmlformats.org/officeDocument/2006/relationships/oleObject" Target="embeddings/oleObject34.bin"/><Relationship Id="rId77" Type="http://schemas.openxmlformats.org/officeDocument/2006/relationships/image" Target="media/image31.emf"/><Relationship Id="rId100" Type="http://schemas.openxmlformats.org/officeDocument/2006/relationships/oleObject" Target="embeddings/oleObject49.bin"/><Relationship Id="rId105" Type="http://schemas.openxmlformats.org/officeDocument/2006/relationships/image" Target="media/image45.wmf"/><Relationship Id="rId113"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5.bin"/><Relationship Id="rId72" Type="http://schemas.openxmlformats.org/officeDocument/2006/relationships/oleObject" Target="embeddings/oleObject36.bin"/><Relationship Id="rId80" Type="http://schemas.openxmlformats.org/officeDocument/2006/relationships/oleObject" Target="embeddings/oleObject39.bin"/><Relationship Id="rId85" Type="http://schemas.openxmlformats.org/officeDocument/2006/relationships/image" Target="media/image35.wmf"/><Relationship Id="rId93" Type="http://schemas.openxmlformats.org/officeDocument/2006/relationships/image" Target="media/image39.wmf"/><Relationship Id="rId98" Type="http://schemas.openxmlformats.org/officeDocument/2006/relationships/oleObject" Target="embeddings/oleObject48.bin"/><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2.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oleObject" Target="embeddings/oleObject29.bin"/><Relationship Id="rId67" Type="http://schemas.openxmlformats.org/officeDocument/2006/relationships/oleObject" Target="embeddings/oleObject33.bin"/><Relationship Id="rId103" Type="http://schemas.openxmlformats.org/officeDocument/2006/relationships/image" Target="media/image44.wmf"/><Relationship Id="rId108" Type="http://schemas.openxmlformats.org/officeDocument/2006/relationships/oleObject" Target="embeddings/oleObject53.bin"/><Relationship Id="rId20" Type="http://schemas.openxmlformats.org/officeDocument/2006/relationships/oleObject" Target="embeddings/oleObject6.bin"/><Relationship Id="rId41" Type="http://schemas.openxmlformats.org/officeDocument/2006/relationships/image" Target="media/image16.wmf"/><Relationship Id="rId54" Type="http://schemas.openxmlformats.org/officeDocument/2006/relationships/image" Target="media/image20.wmf"/><Relationship Id="rId62" Type="http://schemas.openxmlformats.org/officeDocument/2006/relationships/image" Target="media/image24.wmf"/><Relationship Id="rId70" Type="http://schemas.openxmlformats.org/officeDocument/2006/relationships/image" Target="media/image28.wmf"/><Relationship Id="rId75" Type="http://schemas.openxmlformats.org/officeDocument/2006/relationships/image" Target="media/image30.wmf"/><Relationship Id="rId83" Type="http://schemas.openxmlformats.org/officeDocument/2006/relationships/image" Target="media/image34.wmf"/><Relationship Id="rId88" Type="http://schemas.openxmlformats.org/officeDocument/2006/relationships/oleObject" Target="embeddings/oleObject43.bin"/><Relationship Id="rId91" Type="http://schemas.openxmlformats.org/officeDocument/2006/relationships/image" Target="media/image38.wmf"/><Relationship Id="rId96" Type="http://schemas.openxmlformats.org/officeDocument/2006/relationships/oleObject" Target="embeddings/oleObject47.bin"/><Relationship Id="rId111" Type="http://schemas.openxmlformats.org/officeDocument/2006/relationships/image" Target="media/image48.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5.bin"/><Relationship Id="rId49" Type="http://schemas.openxmlformats.org/officeDocument/2006/relationships/oleObject" Target="embeddings/oleObject23.bin"/><Relationship Id="rId57" Type="http://schemas.openxmlformats.org/officeDocument/2006/relationships/oleObject" Target="embeddings/oleObject28.bin"/><Relationship Id="rId106" Type="http://schemas.openxmlformats.org/officeDocument/2006/relationships/oleObject" Target="embeddings/oleObject52.bin"/><Relationship Id="rId114" Type="http://schemas.openxmlformats.org/officeDocument/2006/relationships/theme" Target="theme/theme1.xml"/><Relationship Id="rId10" Type="http://schemas.openxmlformats.org/officeDocument/2006/relationships/oleObject" Target="embeddings/oleObject1.bin"/><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oleObject" Target="embeddings/oleObject32.bin"/><Relationship Id="rId73" Type="http://schemas.openxmlformats.org/officeDocument/2006/relationships/image" Target="media/image29.wmf"/><Relationship Id="rId78" Type="http://schemas.openxmlformats.org/officeDocument/2006/relationships/oleObject" Target="embeddings/Microsoft_Visio_2003-2010_Drawing1.vsd"/><Relationship Id="rId81" Type="http://schemas.openxmlformats.org/officeDocument/2006/relationships/image" Target="media/image33.wmf"/><Relationship Id="rId86" Type="http://schemas.openxmlformats.org/officeDocument/2006/relationships/oleObject" Target="embeddings/oleObject42.bin"/><Relationship Id="rId94" Type="http://schemas.openxmlformats.org/officeDocument/2006/relationships/oleObject" Target="embeddings/oleObject46.bin"/><Relationship Id="rId99" Type="http://schemas.openxmlformats.org/officeDocument/2006/relationships/image" Target="media/image42.wmf"/><Relationship Id="rId101" Type="http://schemas.openxmlformats.org/officeDocument/2006/relationships/image" Target="media/image43.wmf"/><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5.wmf"/><Relationship Id="rId109" Type="http://schemas.openxmlformats.org/officeDocument/2006/relationships/image" Target="media/image47.wmf"/><Relationship Id="rId34" Type="http://schemas.openxmlformats.org/officeDocument/2006/relationships/oleObject" Target="embeddings/oleObject14.bin"/><Relationship Id="rId50" Type="http://schemas.openxmlformats.org/officeDocument/2006/relationships/oleObject" Target="embeddings/oleObject24.bin"/><Relationship Id="rId55" Type="http://schemas.openxmlformats.org/officeDocument/2006/relationships/oleObject" Target="embeddings/oleObject27.bin"/><Relationship Id="rId76" Type="http://schemas.openxmlformats.org/officeDocument/2006/relationships/oleObject" Target="embeddings/oleObject38.bin"/><Relationship Id="rId97" Type="http://schemas.openxmlformats.org/officeDocument/2006/relationships/image" Target="media/image41.wmf"/><Relationship Id="rId104" Type="http://schemas.openxmlformats.org/officeDocument/2006/relationships/oleObject" Target="embeddings/oleObject51.bin"/><Relationship Id="rId7" Type="http://schemas.openxmlformats.org/officeDocument/2006/relationships/footnotes" Target="footnotes.xml"/><Relationship Id="rId71" Type="http://schemas.openxmlformats.org/officeDocument/2006/relationships/oleObject" Target="embeddings/oleObject35.bin"/><Relationship Id="rId92" Type="http://schemas.openxmlformats.org/officeDocument/2006/relationships/oleObject" Target="embeddings/oleObject4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DC343-D9D3-46E7-B93F-173E6E308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8</Pages>
  <Words>3973</Words>
  <Characters>20900</Characters>
  <Application>Microsoft Office Word</Application>
  <DocSecurity>0</DocSecurity>
  <Lines>509</Lines>
  <Paragraphs>371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24502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Sengupta, Avik</dc:creator>
  <cp:keywords>CTPClassification=CTP_NT</cp:keywords>
  <dc:description/>
  <cp:lastModifiedBy>Sengupta, Avik</cp:lastModifiedBy>
  <cp:revision>9</cp:revision>
  <dcterms:created xsi:type="dcterms:W3CDTF">2018-08-02T01:30:00Z</dcterms:created>
  <dcterms:modified xsi:type="dcterms:W3CDTF">2018-08-10T20:26:00Z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12b3992b-3df5-41cf-93f2-2d40a821b871</vt:lpwstr>
  </property>
  <property fmtid="{D5CDD505-2E9C-101B-9397-08002B2CF9AE}" pid="3" name="CTP_TimeStamp">
    <vt:lpwstr>2018-08-10 20:26:38Z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MTWinEqns">
    <vt:bool>true</vt:bool>
  </property>
  <property fmtid="{D5CDD505-2E9C-101B-9397-08002B2CF9AE}" pid="8" name="CTPClassification">
    <vt:lpwstr>CTP_NT</vt:lpwstr>
  </property>
</Properties>
</file>